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AADD94" w14:textId="7EBD7226" w:rsidR="00D32287" w:rsidRPr="002A49E4" w:rsidRDefault="00D32287" w:rsidP="00E26884">
      <w:pPr>
        <w:rPr>
          <w:rFonts w:ascii="Calibri" w:hAnsi="Calibri" w:cs="Calibri"/>
          <w:b/>
          <w:bCs/>
          <w:color w:val="EE0000"/>
        </w:rPr>
      </w:pPr>
    </w:p>
    <w:p w14:paraId="297E036D" w14:textId="746FC55E" w:rsidR="00650C02" w:rsidRDefault="00A279DE" w:rsidP="00C724EE">
      <w:pPr>
        <w:jc w:val="center"/>
        <w:rPr>
          <w:rFonts w:ascii="Calibri" w:hAnsi="Calibri" w:cs="Calibri"/>
          <w:i/>
          <w:iCs/>
        </w:rPr>
      </w:pPr>
      <w:r w:rsidRPr="008E240C">
        <w:rPr>
          <w:rFonts w:ascii="Calibri" w:hAnsi="Calibri" w:cs="Calibri"/>
          <w:i/>
          <w:iCs/>
        </w:rPr>
        <w:t xml:space="preserve">Nota stampa n. </w:t>
      </w:r>
      <w:r w:rsidR="00B44D88">
        <w:rPr>
          <w:rFonts w:ascii="Calibri" w:hAnsi="Calibri" w:cs="Calibri"/>
          <w:i/>
          <w:iCs/>
        </w:rPr>
        <w:t>4</w:t>
      </w:r>
    </w:p>
    <w:p w14:paraId="20263392" w14:textId="25BA1E52" w:rsidR="00EA2923" w:rsidRPr="00EA2923" w:rsidRDefault="00EA2923" w:rsidP="00C724EE">
      <w:pPr>
        <w:jc w:val="center"/>
        <w:rPr>
          <w:rFonts w:ascii="Calibri" w:hAnsi="Calibri" w:cs="Calibri"/>
          <w:b/>
          <w:bCs/>
        </w:rPr>
      </w:pPr>
      <w:r w:rsidRPr="00EA2923">
        <w:rPr>
          <w:rFonts w:ascii="Calibri" w:hAnsi="Calibri" w:cs="Calibri"/>
          <w:b/>
          <w:bCs/>
        </w:rPr>
        <w:t>Il LAYOUT DI INOUT</w:t>
      </w:r>
    </w:p>
    <w:p w14:paraId="015A0933" w14:textId="66770D43" w:rsidR="00B44D88" w:rsidRPr="00EA2923" w:rsidRDefault="00CE3CF1" w:rsidP="00EA2923">
      <w:pPr>
        <w:pStyle w:val="Paragrafoelenco"/>
        <w:spacing w:before="100" w:beforeAutospacing="1" w:after="100" w:afterAutospacing="1" w:line="240" w:lineRule="auto"/>
        <w:jc w:val="center"/>
        <w:rPr>
          <w:rFonts w:ascii="Calibri" w:eastAsia="Times New Roman" w:hAnsi="Calibri" w:cs="Calibri"/>
          <w:kern w:val="0"/>
          <w:lang w:eastAsia="it-IT"/>
          <w14:ligatures w14:val="none"/>
        </w:rPr>
      </w:pPr>
      <w:hyperlink r:id="rId7" w:history="1">
        <w:r w:rsidRPr="0080037B">
          <w:rPr>
            <w:rStyle w:val="Collegamentoipertestuale"/>
            <w:rFonts w:ascii="Calibri" w:eastAsia="Times New Roman" w:hAnsi="Calibri" w:cs="Calibri"/>
            <w:kern w:val="0"/>
            <w:lang w:eastAsia="it-IT"/>
            <w14:ligatures w14:val="none"/>
          </w:rPr>
          <w:t>www.inout.it</w:t>
        </w:r>
      </w:hyperlink>
      <w:r w:rsidRPr="0080037B">
        <w:rPr>
          <w:rFonts w:ascii="Calibri" w:eastAsia="Times New Roman" w:hAnsi="Calibri" w:cs="Calibri"/>
          <w:kern w:val="0"/>
          <w:lang w:eastAsia="it-IT"/>
          <w14:ligatures w14:val="none"/>
        </w:rPr>
        <w:t xml:space="preserve"> | </w:t>
      </w:r>
      <w:hyperlink r:id="rId8" w:history="1">
        <w:r w:rsidRPr="0080037B">
          <w:rPr>
            <w:rStyle w:val="Collegamentoipertestuale"/>
            <w:rFonts w:ascii="Calibri" w:eastAsia="Times New Roman" w:hAnsi="Calibri" w:cs="Calibri"/>
            <w:kern w:val="0"/>
            <w:lang w:eastAsia="it-IT"/>
            <w14:ligatures w14:val="none"/>
          </w:rPr>
          <w:t>www.ttgexpo.it</w:t>
        </w:r>
      </w:hyperlink>
    </w:p>
    <w:p w14:paraId="124D5E39" w14:textId="0C41BE44" w:rsidR="008F7E32" w:rsidRDefault="008F7E32" w:rsidP="008F7E32">
      <w:pPr>
        <w:jc w:val="both"/>
        <w:rPr>
          <w:rFonts w:ascii="Calibri" w:hAnsi="Calibri" w:cs="Calibri"/>
        </w:rPr>
      </w:pPr>
      <w:r w:rsidRPr="00E15D7D">
        <w:rPr>
          <w:rFonts w:ascii="Calibri" w:hAnsi="Calibri" w:cs="Calibri"/>
          <w:i/>
        </w:rPr>
        <w:t>Rimini,</w:t>
      </w:r>
      <w:r w:rsidRPr="00E15D7D">
        <w:rPr>
          <w:rFonts w:ascii="Calibri" w:hAnsi="Calibri" w:cs="Calibri"/>
          <w:i/>
          <w:spacing w:val="1"/>
        </w:rPr>
        <w:t xml:space="preserve"> </w:t>
      </w:r>
      <w:r w:rsidR="004509D1">
        <w:rPr>
          <w:rFonts w:ascii="Calibri" w:hAnsi="Calibri" w:cs="Calibri"/>
          <w:i/>
          <w:spacing w:val="1"/>
        </w:rPr>
        <w:t>__</w:t>
      </w:r>
      <w:r>
        <w:rPr>
          <w:rFonts w:ascii="Calibri" w:hAnsi="Calibri" w:cs="Calibri"/>
          <w:i/>
          <w:spacing w:val="1"/>
        </w:rPr>
        <w:t xml:space="preserve"> ottobre 202</w:t>
      </w:r>
      <w:r w:rsidR="004509D1">
        <w:rPr>
          <w:rFonts w:ascii="Calibri" w:hAnsi="Calibri" w:cs="Calibri"/>
          <w:i/>
          <w:spacing w:val="1"/>
        </w:rPr>
        <w:t>5</w:t>
      </w:r>
      <w:r w:rsidRPr="00E15D7D">
        <w:rPr>
          <w:rFonts w:ascii="Calibri" w:hAnsi="Calibri" w:cs="Calibri"/>
          <w:i/>
        </w:rPr>
        <w:t xml:space="preserve"> – </w:t>
      </w:r>
      <w:r w:rsidRPr="00E15D7D">
        <w:rPr>
          <w:rFonts w:ascii="Calibri" w:hAnsi="Calibri" w:cs="Calibri"/>
        </w:rPr>
        <w:t>Il layout</w:t>
      </w:r>
      <w:r w:rsidR="00995572">
        <w:rPr>
          <w:rFonts w:ascii="Calibri" w:hAnsi="Calibri" w:cs="Calibri"/>
        </w:rPr>
        <w:t xml:space="preserve"> di</w:t>
      </w:r>
      <w:r w:rsidRPr="00E15D7D">
        <w:rPr>
          <w:rFonts w:ascii="Calibri" w:hAnsi="Calibri" w:cs="Calibri"/>
        </w:rPr>
        <w:t xml:space="preserve"> </w:t>
      </w:r>
      <w:r w:rsidRPr="00E15D7D">
        <w:rPr>
          <w:rFonts w:ascii="Calibri" w:hAnsi="Calibri" w:cs="Calibri"/>
          <w:b/>
          <w:bCs/>
        </w:rPr>
        <w:t xml:space="preserve">InOut|The </w:t>
      </w:r>
      <w:r w:rsidR="00995572">
        <w:rPr>
          <w:rFonts w:ascii="Calibri" w:hAnsi="Calibri" w:cs="Calibri"/>
          <w:b/>
          <w:bCs/>
        </w:rPr>
        <w:t>Hospitality</w:t>
      </w:r>
      <w:r w:rsidRPr="00E15D7D">
        <w:rPr>
          <w:rFonts w:ascii="Calibri" w:hAnsi="Calibri" w:cs="Calibri"/>
          <w:b/>
          <w:bCs/>
        </w:rPr>
        <w:t xml:space="preserve"> Community</w:t>
      </w:r>
      <w:r w:rsidRPr="00E15D7D">
        <w:rPr>
          <w:rFonts w:ascii="Calibri" w:hAnsi="Calibri" w:cs="Calibri"/>
          <w:b/>
        </w:rPr>
        <w:t xml:space="preserve"> </w:t>
      </w:r>
      <w:r w:rsidRPr="00E15D7D">
        <w:rPr>
          <w:rFonts w:ascii="Calibri" w:hAnsi="Calibri" w:cs="Calibri"/>
        </w:rPr>
        <w:t xml:space="preserve">(Fiera di Rimini, </w:t>
      </w:r>
      <w:r w:rsidR="004509D1">
        <w:rPr>
          <w:rFonts w:ascii="Calibri" w:hAnsi="Calibri" w:cs="Calibri"/>
        </w:rPr>
        <w:t>8</w:t>
      </w:r>
      <w:r>
        <w:rPr>
          <w:rFonts w:ascii="Calibri" w:hAnsi="Calibri" w:cs="Calibri"/>
        </w:rPr>
        <w:t>-1</w:t>
      </w:r>
      <w:r w:rsidR="004509D1">
        <w:rPr>
          <w:rFonts w:ascii="Calibri" w:hAnsi="Calibri" w:cs="Calibri"/>
        </w:rPr>
        <w:t>0</w:t>
      </w:r>
      <w:r>
        <w:rPr>
          <w:rFonts w:ascii="Calibri" w:hAnsi="Calibri" w:cs="Calibri"/>
        </w:rPr>
        <w:t xml:space="preserve"> ottobre 202</w:t>
      </w:r>
      <w:r w:rsidR="004509D1">
        <w:rPr>
          <w:rFonts w:ascii="Calibri" w:hAnsi="Calibri" w:cs="Calibri"/>
        </w:rPr>
        <w:t>5</w:t>
      </w:r>
      <w:r>
        <w:rPr>
          <w:rFonts w:ascii="Calibri" w:hAnsi="Calibri" w:cs="Calibri"/>
        </w:rPr>
        <w:t>)</w:t>
      </w:r>
      <w:r w:rsidRPr="00E15D7D">
        <w:rPr>
          <w:rFonts w:ascii="Calibri" w:hAnsi="Calibri" w:cs="Calibri"/>
        </w:rPr>
        <w:t xml:space="preserve"> </w:t>
      </w:r>
      <w:r>
        <w:rPr>
          <w:rFonts w:ascii="Calibri" w:hAnsi="Calibri" w:cs="Calibri"/>
          <w:bCs/>
        </w:rPr>
        <w:t>si affianc</w:t>
      </w:r>
      <w:r w:rsidR="003763B9">
        <w:rPr>
          <w:rFonts w:ascii="Calibri" w:hAnsi="Calibri" w:cs="Calibri"/>
          <w:bCs/>
        </w:rPr>
        <w:t>a</w:t>
      </w:r>
      <w:r>
        <w:rPr>
          <w:rFonts w:ascii="Calibri" w:hAnsi="Calibri" w:cs="Calibri"/>
          <w:bCs/>
        </w:rPr>
        <w:t xml:space="preserve"> a quell</w:t>
      </w:r>
      <w:r w:rsidR="003763B9">
        <w:rPr>
          <w:rFonts w:ascii="Calibri" w:hAnsi="Calibri" w:cs="Calibri"/>
          <w:bCs/>
        </w:rPr>
        <w:t>o</w:t>
      </w:r>
      <w:r>
        <w:rPr>
          <w:rFonts w:ascii="Calibri" w:hAnsi="Calibri" w:cs="Calibri"/>
          <w:bCs/>
        </w:rPr>
        <w:t xml:space="preserve"> di TTG Travel Experience</w:t>
      </w:r>
      <w:r w:rsidR="00995572">
        <w:rPr>
          <w:rFonts w:ascii="Calibri" w:hAnsi="Calibri" w:cs="Calibri"/>
          <w:bCs/>
        </w:rPr>
        <w:t>,</w:t>
      </w:r>
      <w:r w:rsidR="003763B9" w:rsidRPr="003763B9">
        <w:rPr>
          <w:rFonts w:ascii="Calibri" w:hAnsi="Calibri" w:cs="Calibri"/>
          <w:bCs/>
        </w:rPr>
        <w:t xml:space="preserve"> entrambe</w:t>
      </w:r>
      <w:r w:rsidR="00995572">
        <w:rPr>
          <w:rFonts w:ascii="Calibri" w:hAnsi="Calibri" w:cs="Calibri"/>
          <w:bCs/>
        </w:rPr>
        <w:t xml:space="preserve"> manifestazioni</w:t>
      </w:r>
      <w:r w:rsidR="003763B9" w:rsidRPr="003763B9">
        <w:rPr>
          <w:rFonts w:ascii="Calibri" w:hAnsi="Calibri" w:cs="Calibri"/>
          <w:bCs/>
        </w:rPr>
        <w:t xml:space="preserve"> firmate Italian Exhibition Group.</w:t>
      </w:r>
    </w:p>
    <w:p w14:paraId="0DE625AA" w14:textId="513F9731" w:rsidR="00EA2923" w:rsidRPr="00E15D7D" w:rsidRDefault="00EA2923" w:rsidP="008F7E32">
      <w:pPr>
        <w:jc w:val="both"/>
        <w:rPr>
          <w:rFonts w:ascii="Calibri" w:hAnsi="Calibri" w:cs="Calibri"/>
        </w:rPr>
      </w:pPr>
      <w:r w:rsidRPr="003D3C7B">
        <w:rPr>
          <w:noProof/>
          <w:sz w:val="24"/>
          <w:szCs w:val="24"/>
        </w:rPr>
        <w:drawing>
          <wp:inline distT="0" distB="0" distL="0" distR="0" wp14:anchorId="0F9801A1" wp14:editId="43AED055">
            <wp:extent cx="5992488" cy="4337050"/>
            <wp:effectExtent l="0" t="0" r="8890" b="6350"/>
            <wp:docPr id="2072833955" name="Immagine 1" descr="Immagine che contiene testo, schermata, diagramma, Parallelo&#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2833955" name="Immagine 1" descr="Immagine che contiene testo, schermata, diagramma, Parallelo&#10;&#10;Il contenuto generato dall'IA potrebbe non essere corretto."/>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31231"/>
                    <a:stretch>
                      <a:fillRect/>
                    </a:stretch>
                  </pic:blipFill>
                  <pic:spPr bwMode="auto">
                    <a:xfrm>
                      <a:off x="0" y="0"/>
                      <a:ext cx="6006085" cy="4346891"/>
                    </a:xfrm>
                    <a:prstGeom prst="rect">
                      <a:avLst/>
                    </a:prstGeom>
                    <a:noFill/>
                    <a:ln>
                      <a:noFill/>
                    </a:ln>
                    <a:extLst>
                      <a:ext uri="{53640926-AAD7-44D8-BBD7-CCE9431645EC}">
                        <a14:shadowObscured xmlns:a14="http://schemas.microsoft.com/office/drawing/2010/main"/>
                      </a:ext>
                    </a:extLst>
                  </pic:spPr>
                </pic:pic>
              </a:graphicData>
            </a:graphic>
          </wp:inline>
        </w:drawing>
      </w:r>
    </w:p>
    <w:p w14:paraId="2EB2B6F9" w14:textId="77777777" w:rsidR="00B44D88" w:rsidRDefault="00B44D88" w:rsidP="004E5E3A">
      <w:pPr>
        <w:jc w:val="both"/>
        <w:rPr>
          <w:rFonts w:ascii="Calibri" w:eastAsia="Times New Roman" w:hAnsi="Calibri" w:cs="Calibri"/>
          <w:b/>
          <w:bCs/>
          <w:kern w:val="0"/>
          <w:lang w:eastAsia="it-IT"/>
          <w14:ligatures w14:val="none"/>
        </w:rPr>
      </w:pPr>
    </w:p>
    <w:p w14:paraId="084860AC" w14:textId="243D1619" w:rsidR="00E0739C" w:rsidRDefault="00DE3EBB" w:rsidP="00DE3EBB">
      <w:pPr>
        <w:spacing w:line="240" w:lineRule="auto"/>
        <w:contextualSpacing/>
        <w:jc w:val="both"/>
        <w:rPr>
          <w:rFonts w:ascii="Calibri" w:hAnsi="Calibri" w:cs="Calibri"/>
        </w:rPr>
      </w:pPr>
      <w:r w:rsidRPr="00E15D7D">
        <w:rPr>
          <w:rFonts w:ascii="Calibri" w:hAnsi="Calibri" w:cs="Calibri"/>
          <w:b/>
          <w:bCs/>
        </w:rPr>
        <w:t xml:space="preserve">InOut|The </w:t>
      </w:r>
      <w:r w:rsidR="00E17E84">
        <w:rPr>
          <w:rFonts w:ascii="Calibri" w:hAnsi="Calibri" w:cs="Calibri"/>
          <w:b/>
          <w:bCs/>
        </w:rPr>
        <w:t>Hospitality</w:t>
      </w:r>
      <w:r w:rsidRPr="00E15D7D">
        <w:rPr>
          <w:rFonts w:ascii="Calibri" w:hAnsi="Calibri" w:cs="Calibri"/>
          <w:b/>
          <w:bCs/>
        </w:rPr>
        <w:t xml:space="preserve"> Community </w:t>
      </w:r>
      <w:r w:rsidRPr="00E15D7D">
        <w:rPr>
          <w:rFonts w:ascii="Calibri" w:hAnsi="Calibri" w:cs="Calibri"/>
        </w:rPr>
        <w:t>occuperà l’ala Est della fiera di Rimini</w:t>
      </w:r>
      <w:r>
        <w:rPr>
          <w:rFonts w:ascii="Calibri" w:hAnsi="Calibri" w:cs="Calibri"/>
        </w:rPr>
        <w:t>, con 1</w:t>
      </w:r>
      <w:r w:rsidR="0032690E">
        <w:rPr>
          <w:rFonts w:ascii="Calibri" w:hAnsi="Calibri" w:cs="Calibri"/>
        </w:rPr>
        <w:t>2</w:t>
      </w:r>
      <w:r>
        <w:rPr>
          <w:rFonts w:ascii="Calibri" w:hAnsi="Calibri" w:cs="Calibri"/>
        </w:rPr>
        <w:t xml:space="preserve"> padiglioni dedicati. L’ingresso sarà possibile sia da </w:t>
      </w:r>
      <w:r w:rsidR="009236B7">
        <w:rPr>
          <w:rFonts w:ascii="Calibri" w:hAnsi="Calibri" w:cs="Calibri"/>
        </w:rPr>
        <w:t>S</w:t>
      </w:r>
      <w:r>
        <w:rPr>
          <w:rFonts w:ascii="Calibri" w:hAnsi="Calibri" w:cs="Calibri"/>
        </w:rPr>
        <w:t xml:space="preserve">ud, passando attraverso la Main Arena che divide InOut da TTG Travel Experience, oppure dall’ingresso </w:t>
      </w:r>
      <w:r w:rsidR="009236B7">
        <w:rPr>
          <w:rFonts w:ascii="Calibri" w:hAnsi="Calibri" w:cs="Calibri"/>
        </w:rPr>
        <w:t>E</w:t>
      </w:r>
      <w:r>
        <w:rPr>
          <w:rFonts w:ascii="Calibri" w:hAnsi="Calibri" w:cs="Calibri"/>
        </w:rPr>
        <w:t xml:space="preserve">st, trovandosi subito di fronte il Beach Village e la relativa Beach Arena. </w:t>
      </w:r>
    </w:p>
    <w:p w14:paraId="3AB9A91B" w14:textId="77777777" w:rsidR="00C84C31" w:rsidRDefault="00C84C31" w:rsidP="00DE3EBB">
      <w:pPr>
        <w:spacing w:line="240" w:lineRule="auto"/>
        <w:contextualSpacing/>
        <w:jc w:val="both"/>
        <w:rPr>
          <w:rFonts w:ascii="Calibri" w:hAnsi="Calibri" w:cs="Calibri"/>
        </w:rPr>
      </w:pPr>
    </w:p>
    <w:p w14:paraId="35648467" w14:textId="4807FCE8" w:rsidR="00C84C31" w:rsidRDefault="00CD68D2" w:rsidP="00DE3EBB">
      <w:pPr>
        <w:spacing w:line="240" w:lineRule="auto"/>
        <w:contextualSpacing/>
        <w:jc w:val="both"/>
        <w:rPr>
          <w:rFonts w:ascii="Calibri" w:hAnsi="Calibri" w:cs="Calibri"/>
        </w:rPr>
      </w:pPr>
      <w:r>
        <w:rPr>
          <w:rFonts w:ascii="Calibri" w:hAnsi="Calibri" w:cs="Calibri"/>
        </w:rPr>
        <w:t xml:space="preserve">Le </w:t>
      </w:r>
      <w:r w:rsidRPr="00CD68D2">
        <w:rPr>
          <w:rFonts w:ascii="Calibri" w:hAnsi="Calibri" w:cs="Calibri"/>
          <w:b/>
          <w:bCs/>
        </w:rPr>
        <w:t>8 aree espositive</w:t>
      </w:r>
      <w:r>
        <w:rPr>
          <w:rFonts w:ascii="Calibri" w:hAnsi="Calibri" w:cs="Calibri"/>
        </w:rPr>
        <w:t xml:space="preserve"> sono così organizzate:</w:t>
      </w:r>
    </w:p>
    <w:p w14:paraId="215DBAFB" w14:textId="77777777" w:rsidR="00CD68D2" w:rsidRPr="00CD68D2" w:rsidRDefault="00CD68D2" w:rsidP="00DE3EBB">
      <w:pPr>
        <w:spacing w:line="240" w:lineRule="auto"/>
        <w:contextualSpacing/>
        <w:jc w:val="both"/>
        <w:rPr>
          <w:rFonts w:ascii="Calibri" w:hAnsi="Calibri" w:cs="Calibri"/>
        </w:rPr>
      </w:pPr>
    </w:p>
    <w:p w14:paraId="773F838D" w14:textId="68A54B04" w:rsidR="00CD68D2" w:rsidRPr="00CD68D2" w:rsidRDefault="00CD68D2" w:rsidP="00CD68D2">
      <w:pPr>
        <w:pStyle w:val="Paragrafoelenco"/>
        <w:numPr>
          <w:ilvl w:val="0"/>
          <w:numId w:val="23"/>
        </w:numPr>
        <w:jc w:val="both"/>
        <w:rPr>
          <w:rFonts w:ascii="Calibri" w:hAnsi="Calibri" w:cs="Calibri"/>
          <w:b/>
          <w:bCs/>
        </w:rPr>
      </w:pPr>
      <w:r w:rsidRPr="00CD68D2">
        <w:rPr>
          <w:rFonts w:ascii="Calibri" w:hAnsi="Calibri" w:cs="Calibri"/>
          <w:b/>
          <w:bCs/>
        </w:rPr>
        <w:t>Forniture Alberghiere (padiglione D1)</w:t>
      </w:r>
    </w:p>
    <w:p w14:paraId="5AA6BF9E" w14:textId="0763A8AD" w:rsidR="00CD68D2" w:rsidRPr="00CD68D2" w:rsidRDefault="00CD68D2" w:rsidP="00CD68D2">
      <w:pPr>
        <w:pStyle w:val="Paragrafoelenco"/>
        <w:numPr>
          <w:ilvl w:val="0"/>
          <w:numId w:val="22"/>
        </w:numPr>
        <w:jc w:val="both"/>
        <w:rPr>
          <w:rFonts w:ascii="Calibri" w:hAnsi="Calibri" w:cs="Calibri"/>
          <w:b/>
          <w:bCs/>
        </w:rPr>
      </w:pPr>
      <w:r w:rsidRPr="00CD68D2">
        <w:rPr>
          <w:rFonts w:ascii="Calibri" w:hAnsi="Calibri" w:cs="Calibri"/>
          <w:b/>
          <w:bCs/>
        </w:rPr>
        <w:t>Tecnologie e Servizi (padiglione D1 – D2)</w:t>
      </w:r>
    </w:p>
    <w:p w14:paraId="4A11F2EE" w14:textId="323B020E" w:rsidR="00CD68D2" w:rsidRPr="00CD68D2" w:rsidRDefault="00CD68D2" w:rsidP="00CD68D2">
      <w:pPr>
        <w:pStyle w:val="Paragrafoelenco"/>
        <w:numPr>
          <w:ilvl w:val="0"/>
          <w:numId w:val="22"/>
        </w:numPr>
        <w:jc w:val="both"/>
        <w:rPr>
          <w:rFonts w:ascii="Calibri" w:hAnsi="Calibri" w:cs="Calibri"/>
          <w:b/>
          <w:bCs/>
          <w:lang w:val="en-US"/>
        </w:rPr>
      </w:pPr>
      <w:r w:rsidRPr="00CD68D2">
        <w:rPr>
          <w:rFonts w:ascii="Calibri" w:hAnsi="Calibri" w:cs="Calibri"/>
          <w:b/>
          <w:bCs/>
          <w:lang w:val="en-US"/>
        </w:rPr>
        <w:t>Sport &amp; Entertainment (padiglione D3 – B2)</w:t>
      </w:r>
    </w:p>
    <w:p w14:paraId="2DA168D5" w14:textId="7834B1A7" w:rsidR="00CD68D2" w:rsidRPr="00CD68D2" w:rsidRDefault="00CD68D2" w:rsidP="00CD68D2">
      <w:pPr>
        <w:pStyle w:val="Paragrafoelenco"/>
        <w:numPr>
          <w:ilvl w:val="0"/>
          <w:numId w:val="22"/>
        </w:numPr>
        <w:jc w:val="both"/>
        <w:rPr>
          <w:rFonts w:ascii="Calibri" w:hAnsi="Calibri" w:cs="Calibri"/>
          <w:b/>
          <w:bCs/>
        </w:rPr>
      </w:pPr>
      <w:r w:rsidRPr="00CD68D2">
        <w:rPr>
          <w:rFonts w:ascii="Calibri" w:hAnsi="Calibri" w:cs="Calibri"/>
          <w:b/>
          <w:bCs/>
        </w:rPr>
        <w:t>Piscine e Benessere (padiglione B1 (pad. B1 – Poolwide)</w:t>
      </w:r>
    </w:p>
    <w:p w14:paraId="243F7B16" w14:textId="0139B374" w:rsidR="00CD68D2" w:rsidRPr="00CD68D2" w:rsidRDefault="00CD68D2" w:rsidP="00CD68D2">
      <w:pPr>
        <w:pStyle w:val="Paragrafoelenco"/>
        <w:numPr>
          <w:ilvl w:val="0"/>
          <w:numId w:val="22"/>
        </w:numPr>
        <w:jc w:val="both"/>
        <w:rPr>
          <w:rFonts w:ascii="Calibri" w:hAnsi="Calibri" w:cs="Calibri"/>
          <w:b/>
          <w:bCs/>
          <w:lang w:val="en-US"/>
        </w:rPr>
      </w:pPr>
      <w:r w:rsidRPr="00CD68D2">
        <w:rPr>
          <w:rFonts w:ascii="Calibri" w:hAnsi="Calibri" w:cs="Calibri"/>
          <w:b/>
          <w:bCs/>
          <w:lang w:val="en-US"/>
        </w:rPr>
        <w:t>Camping &amp; Glamping ( padiglioni D7 – B7 – hall B7/D7)</w:t>
      </w:r>
    </w:p>
    <w:p w14:paraId="3261CE50" w14:textId="06D448EF" w:rsidR="00CD68D2" w:rsidRPr="00CD68D2" w:rsidRDefault="00CD68D2" w:rsidP="00CD68D2">
      <w:pPr>
        <w:pStyle w:val="Paragrafoelenco"/>
        <w:numPr>
          <w:ilvl w:val="0"/>
          <w:numId w:val="22"/>
        </w:numPr>
        <w:jc w:val="both"/>
        <w:rPr>
          <w:rFonts w:ascii="Calibri" w:hAnsi="Calibri" w:cs="Calibri"/>
          <w:b/>
          <w:bCs/>
          <w:lang w:val="en-US"/>
        </w:rPr>
      </w:pPr>
      <w:r w:rsidRPr="00CD68D2">
        <w:rPr>
          <w:rFonts w:ascii="Calibri" w:hAnsi="Calibri" w:cs="Calibri"/>
          <w:b/>
          <w:bCs/>
          <w:lang w:val="en-US"/>
        </w:rPr>
        <w:t>Balneare (padiglioni D5 – B5 – hall B5/D5)</w:t>
      </w:r>
    </w:p>
    <w:p w14:paraId="6D34AC4D" w14:textId="00F45947" w:rsidR="00CD68D2" w:rsidRPr="00CD68D2" w:rsidRDefault="00CD68D2" w:rsidP="00CD68D2">
      <w:pPr>
        <w:pStyle w:val="Paragrafoelenco"/>
        <w:numPr>
          <w:ilvl w:val="0"/>
          <w:numId w:val="22"/>
        </w:numPr>
        <w:jc w:val="both"/>
        <w:rPr>
          <w:rFonts w:ascii="Calibri" w:hAnsi="Calibri" w:cs="Calibri"/>
          <w:b/>
          <w:bCs/>
        </w:rPr>
      </w:pPr>
      <w:r w:rsidRPr="00CD68D2">
        <w:rPr>
          <w:rFonts w:ascii="Calibri" w:hAnsi="Calibri" w:cs="Calibri"/>
          <w:b/>
          <w:bCs/>
        </w:rPr>
        <w:lastRenderedPageBreak/>
        <w:t>Arredo Indoor (padiglione D3)</w:t>
      </w:r>
    </w:p>
    <w:p w14:paraId="18C2ECA1" w14:textId="3ACB17FD" w:rsidR="00CD68D2" w:rsidRDefault="00CD68D2" w:rsidP="00CD68D2">
      <w:pPr>
        <w:pStyle w:val="Paragrafoelenco"/>
        <w:numPr>
          <w:ilvl w:val="0"/>
          <w:numId w:val="22"/>
        </w:numPr>
        <w:jc w:val="both"/>
        <w:rPr>
          <w:rFonts w:ascii="Calibri" w:hAnsi="Calibri" w:cs="Calibri"/>
          <w:b/>
          <w:bCs/>
        </w:rPr>
      </w:pPr>
      <w:r w:rsidRPr="00CD68D2">
        <w:rPr>
          <w:rFonts w:ascii="Calibri" w:hAnsi="Calibri" w:cs="Calibri"/>
          <w:b/>
          <w:bCs/>
        </w:rPr>
        <w:t>Outdoor (padiglione B3)</w:t>
      </w:r>
    </w:p>
    <w:p w14:paraId="4009B91F" w14:textId="71C918F3" w:rsidR="008A4396" w:rsidRPr="008A4396" w:rsidRDefault="008A4396" w:rsidP="008A4396">
      <w:pPr>
        <w:pStyle w:val="NormaleWeb"/>
        <w:jc w:val="both"/>
        <w:rPr>
          <w:rFonts w:ascii="Calibri" w:hAnsi="Calibri" w:cs="Calibri"/>
          <w:sz w:val="22"/>
          <w:szCs w:val="22"/>
        </w:rPr>
      </w:pPr>
      <w:r w:rsidRPr="00CD756B">
        <w:rPr>
          <w:rFonts w:ascii="Calibri" w:hAnsi="Calibri" w:cs="Calibri"/>
          <w:sz w:val="22"/>
          <w:szCs w:val="22"/>
        </w:rPr>
        <w:t>Per quanto riguarda i</w:t>
      </w:r>
      <w:r w:rsidRPr="008A4396">
        <w:rPr>
          <w:rFonts w:ascii="Calibri" w:hAnsi="Calibri" w:cs="Calibri"/>
          <w:b/>
          <w:bCs/>
          <w:sz w:val="22"/>
          <w:szCs w:val="22"/>
        </w:rPr>
        <w:t xml:space="preserve"> progetti speciali</w:t>
      </w:r>
      <w:r w:rsidR="00CD756B">
        <w:rPr>
          <w:rFonts w:ascii="Calibri" w:hAnsi="Calibri" w:cs="Calibri"/>
          <w:b/>
          <w:bCs/>
          <w:sz w:val="22"/>
          <w:szCs w:val="22"/>
        </w:rPr>
        <w:t xml:space="preserve">, </w:t>
      </w:r>
      <w:r w:rsidR="00CD756B" w:rsidRPr="00CD756B">
        <w:rPr>
          <w:rFonts w:ascii="Calibri" w:hAnsi="Calibri" w:cs="Calibri"/>
          <w:sz w:val="22"/>
          <w:szCs w:val="22"/>
        </w:rPr>
        <w:t>n</w:t>
      </w:r>
      <w:r w:rsidRPr="008A4396">
        <w:rPr>
          <w:rFonts w:ascii="Calibri" w:hAnsi="Calibri" w:cs="Calibri"/>
          <w:sz w:val="22"/>
          <w:szCs w:val="22"/>
        </w:rPr>
        <w:t xml:space="preserve">el </w:t>
      </w:r>
      <w:r w:rsidR="00E17E84">
        <w:rPr>
          <w:rFonts w:ascii="Calibri" w:hAnsi="Calibri" w:cs="Calibri"/>
          <w:b/>
          <w:bCs/>
          <w:sz w:val="22"/>
          <w:szCs w:val="22"/>
        </w:rPr>
        <w:t>p</w:t>
      </w:r>
      <w:r w:rsidRPr="00CD756B">
        <w:rPr>
          <w:rFonts w:ascii="Calibri" w:hAnsi="Calibri" w:cs="Calibri"/>
          <w:b/>
          <w:bCs/>
          <w:sz w:val="22"/>
          <w:szCs w:val="22"/>
        </w:rPr>
        <w:t>adiglione D3</w:t>
      </w:r>
      <w:r w:rsidRPr="008A4396">
        <w:rPr>
          <w:rFonts w:ascii="Calibri" w:hAnsi="Calibri" w:cs="Calibri"/>
          <w:sz w:val="22"/>
          <w:szCs w:val="22"/>
        </w:rPr>
        <w:t xml:space="preserve"> prende vita </w:t>
      </w:r>
      <w:r w:rsidRPr="008A4396">
        <w:rPr>
          <w:rStyle w:val="Enfasigrassetto"/>
          <w:rFonts w:ascii="Calibri" w:eastAsiaTheme="majorEastAsia" w:hAnsi="Calibri" w:cs="Calibri"/>
          <w:sz w:val="22"/>
          <w:szCs w:val="22"/>
        </w:rPr>
        <w:t>Hotel in Motion</w:t>
      </w:r>
      <w:r w:rsidRPr="008A4396">
        <w:rPr>
          <w:rFonts w:ascii="Calibri" w:hAnsi="Calibri" w:cs="Calibri"/>
          <w:sz w:val="22"/>
          <w:szCs w:val="22"/>
        </w:rPr>
        <w:t>, firmato dall’architetto Anna Palucci</w:t>
      </w:r>
      <w:r w:rsidR="00577FC0">
        <w:rPr>
          <w:rFonts w:ascii="Calibri" w:hAnsi="Calibri" w:cs="Calibri"/>
          <w:sz w:val="22"/>
          <w:szCs w:val="22"/>
        </w:rPr>
        <w:t xml:space="preserve"> per FAI LA COSA GIUSTA</w:t>
      </w:r>
      <w:r w:rsidRPr="008A4396">
        <w:rPr>
          <w:rFonts w:ascii="Calibri" w:hAnsi="Calibri" w:cs="Calibri"/>
          <w:sz w:val="22"/>
          <w:szCs w:val="22"/>
        </w:rPr>
        <w:t xml:space="preserve"> (W7.0 – Wellnessettepuntozero)</w:t>
      </w:r>
      <w:r w:rsidR="00CD756B">
        <w:rPr>
          <w:rFonts w:ascii="Calibri" w:hAnsi="Calibri" w:cs="Calibri"/>
          <w:sz w:val="22"/>
          <w:szCs w:val="22"/>
        </w:rPr>
        <w:t xml:space="preserve">. </w:t>
      </w:r>
      <w:r w:rsidRPr="008A4396">
        <w:rPr>
          <w:rFonts w:ascii="Calibri" w:hAnsi="Calibri" w:cs="Calibri"/>
          <w:sz w:val="22"/>
          <w:szCs w:val="22"/>
        </w:rPr>
        <w:t xml:space="preserve">Accanto, il </w:t>
      </w:r>
      <w:r w:rsidRPr="008A4396">
        <w:rPr>
          <w:rStyle w:val="Enfasigrassetto"/>
          <w:rFonts w:ascii="Calibri" w:eastAsiaTheme="majorEastAsia" w:hAnsi="Calibri" w:cs="Calibri"/>
          <w:sz w:val="22"/>
          <w:szCs w:val="22"/>
        </w:rPr>
        <w:t>Vision Lab</w:t>
      </w:r>
      <w:r w:rsidRPr="008A4396">
        <w:rPr>
          <w:rFonts w:ascii="Calibri" w:hAnsi="Calibri" w:cs="Calibri"/>
          <w:sz w:val="22"/>
          <w:szCs w:val="22"/>
        </w:rPr>
        <w:t xml:space="preserve"> </w:t>
      </w:r>
      <w:r w:rsidR="00E17E84">
        <w:rPr>
          <w:rFonts w:ascii="Calibri" w:hAnsi="Calibri" w:cs="Calibri"/>
          <w:sz w:val="22"/>
          <w:szCs w:val="22"/>
        </w:rPr>
        <w:t xml:space="preserve">al </w:t>
      </w:r>
      <w:r w:rsidR="00E17E84" w:rsidRPr="00E17E84">
        <w:rPr>
          <w:rFonts w:ascii="Calibri" w:hAnsi="Calibri" w:cs="Calibri"/>
          <w:b/>
          <w:bCs/>
          <w:sz w:val="22"/>
          <w:szCs w:val="22"/>
        </w:rPr>
        <w:t>padiglione B3</w:t>
      </w:r>
      <w:r w:rsidR="00E17E84">
        <w:rPr>
          <w:rFonts w:ascii="Calibri" w:hAnsi="Calibri" w:cs="Calibri"/>
          <w:sz w:val="22"/>
          <w:szCs w:val="22"/>
        </w:rPr>
        <w:t xml:space="preserve"> </w:t>
      </w:r>
      <w:r w:rsidRPr="008A4396">
        <w:rPr>
          <w:rFonts w:ascii="Calibri" w:hAnsi="Calibri" w:cs="Calibri"/>
          <w:sz w:val="22"/>
          <w:szCs w:val="22"/>
        </w:rPr>
        <w:t>propone un viaggio tra città, mare, montagna e campagna, con quattro ambientazioni da 640 metri quadrati firmate da</w:t>
      </w:r>
      <w:r w:rsidR="00283D80">
        <w:rPr>
          <w:rFonts w:ascii="Calibri" w:hAnsi="Calibri" w:cs="Calibri"/>
          <w:sz w:val="22"/>
          <w:szCs w:val="22"/>
        </w:rPr>
        <w:t xml:space="preserve"> famosi studi </w:t>
      </w:r>
      <w:r w:rsidRPr="008A4396">
        <w:rPr>
          <w:rFonts w:ascii="Calibri" w:hAnsi="Calibri" w:cs="Calibri"/>
          <w:sz w:val="22"/>
          <w:szCs w:val="22"/>
        </w:rPr>
        <w:t>di architettura come ATI Project, Lombardini22, Progetto CMR e Studio Marco Piva.</w:t>
      </w:r>
    </w:p>
    <w:p w14:paraId="500FB78C" w14:textId="51152304" w:rsidR="008A4396" w:rsidRPr="008A4396" w:rsidRDefault="008A4396" w:rsidP="008A4396">
      <w:pPr>
        <w:pStyle w:val="NormaleWeb"/>
        <w:jc w:val="both"/>
        <w:rPr>
          <w:rFonts w:ascii="Calibri" w:hAnsi="Calibri" w:cs="Calibri"/>
          <w:sz w:val="22"/>
          <w:szCs w:val="22"/>
        </w:rPr>
      </w:pPr>
      <w:r w:rsidRPr="008A4396">
        <w:rPr>
          <w:rFonts w:ascii="Calibri" w:hAnsi="Calibri" w:cs="Calibri"/>
          <w:sz w:val="22"/>
          <w:szCs w:val="22"/>
        </w:rPr>
        <w:t xml:space="preserve">Il </w:t>
      </w:r>
      <w:r w:rsidR="00E17E84" w:rsidRPr="00E17E84">
        <w:rPr>
          <w:rFonts w:ascii="Calibri" w:hAnsi="Calibri" w:cs="Calibri"/>
          <w:b/>
          <w:bCs/>
          <w:sz w:val="22"/>
          <w:szCs w:val="22"/>
        </w:rPr>
        <w:t>p</w:t>
      </w:r>
      <w:r w:rsidRPr="007651F1">
        <w:rPr>
          <w:rFonts w:ascii="Calibri" w:hAnsi="Calibri" w:cs="Calibri"/>
          <w:b/>
          <w:bCs/>
          <w:sz w:val="22"/>
          <w:szCs w:val="22"/>
        </w:rPr>
        <w:t>adiglione D2</w:t>
      </w:r>
      <w:r w:rsidRPr="008A4396">
        <w:rPr>
          <w:rFonts w:ascii="Calibri" w:hAnsi="Calibri" w:cs="Calibri"/>
          <w:sz w:val="22"/>
          <w:szCs w:val="22"/>
        </w:rPr>
        <w:t xml:space="preserve"> ospita invece </w:t>
      </w:r>
      <w:r w:rsidRPr="008A4396">
        <w:rPr>
          <w:rStyle w:val="Enfasigrassetto"/>
          <w:rFonts w:ascii="Calibri" w:eastAsiaTheme="majorEastAsia" w:hAnsi="Calibri" w:cs="Calibri"/>
          <w:sz w:val="22"/>
          <w:szCs w:val="22"/>
        </w:rPr>
        <w:t>THAT’s the POINT | luxury suite</w:t>
      </w:r>
      <w:r w:rsidRPr="008A4396">
        <w:rPr>
          <w:rFonts w:ascii="Calibri" w:hAnsi="Calibri" w:cs="Calibri"/>
          <w:sz w:val="22"/>
          <w:szCs w:val="22"/>
        </w:rPr>
        <w:t>, la nuova creazione di Simone Micheli con visual identity di Roberta Colla: una superficie di 900 mq trasformata in un insieme scenografico fatto di suite di lusso, area lounge e bookstore museale</w:t>
      </w:r>
      <w:r w:rsidR="007651F1">
        <w:rPr>
          <w:rFonts w:ascii="Calibri" w:hAnsi="Calibri" w:cs="Calibri"/>
          <w:sz w:val="22"/>
          <w:szCs w:val="22"/>
        </w:rPr>
        <w:t xml:space="preserve">. </w:t>
      </w:r>
      <w:r w:rsidRPr="008A4396">
        <w:rPr>
          <w:rFonts w:ascii="Calibri" w:hAnsi="Calibri" w:cs="Calibri"/>
          <w:sz w:val="22"/>
          <w:szCs w:val="22"/>
        </w:rPr>
        <w:t xml:space="preserve">L’arte trova la sua espressione in </w:t>
      </w:r>
      <w:r w:rsidRPr="008A4396">
        <w:rPr>
          <w:rStyle w:val="Enfasigrassetto"/>
          <w:rFonts w:ascii="Calibri" w:eastAsiaTheme="majorEastAsia" w:hAnsi="Calibri" w:cs="Calibri"/>
          <w:sz w:val="22"/>
          <w:szCs w:val="22"/>
        </w:rPr>
        <w:t>Artistic Tapestries</w:t>
      </w:r>
      <w:r w:rsidRPr="008A4396">
        <w:rPr>
          <w:rFonts w:ascii="Calibri" w:hAnsi="Calibri" w:cs="Calibri"/>
          <w:sz w:val="22"/>
          <w:szCs w:val="22"/>
        </w:rPr>
        <w:t>, installazione curata da Cinquerosso Arte nell’area delle piscine esterne: sei opere sospese che, tra acqua e aria, mutano forma e colore interpretando il tema “Awake”.</w:t>
      </w:r>
    </w:p>
    <w:p w14:paraId="0601552C" w14:textId="2B0A6141" w:rsidR="008A4396" w:rsidRPr="008A4396" w:rsidRDefault="008A4396" w:rsidP="008A4396">
      <w:pPr>
        <w:pStyle w:val="NormaleWeb"/>
        <w:jc w:val="both"/>
        <w:rPr>
          <w:rFonts w:ascii="Calibri" w:hAnsi="Calibri" w:cs="Calibri"/>
          <w:sz w:val="22"/>
          <w:szCs w:val="22"/>
        </w:rPr>
      </w:pPr>
      <w:r w:rsidRPr="008A4396">
        <w:rPr>
          <w:rFonts w:ascii="Calibri" w:hAnsi="Calibri" w:cs="Calibri"/>
          <w:sz w:val="22"/>
          <w:szCs w:val="22"/>
        </w:rPr>
        <w:t xml:space="preserve">Pensato per i buyer internazionali, lo spazio della </w:t>
      </w:r>
      <w:r w:rsidRPr="008A4396">
        <w:rPr>
          <w:rStyle w:val="Enfasigrassetto"/>
          <w:rFonts w:ascii="Calibri" w:eastAsiaTheme="majorEastAsia" w:hAnsi="Calibri" w:cs="Calibri"/>
          <w:sz w:val="22"/>
          <w:szCs w:val="22"/>
        </w:rPr>
        <w:t>Buyers Lounge</w:t>
      </w:r>
      <w:r w:rsidR="004A1289">
        <w:rPr>
          <w:rStyle w:val="Enfasigrassetto"/>
          <w:rFonts w:ascii="Calibri" w:eastAsiaTheme="majorEastAsia" w:hAnsi="Calibri" w:cs="Calibri"/>
          <w:sz w:val="22"/>
          <w:szCs w:val="22"/>
        </w:rPr>
        <w:t>,</w:t>
      </w:r>
      <w:r w:rsidR="004A1289">
        <w:rPr>
          <w:rFonts w:ascii="Calibri" w:hAnsi="Calibri" w:cs="Calibri"/>
          <w:sz w:val="22"/>
          <w:szCs w:val="22"/>
        </w:rPr>
        <w:t xml:space="preserve"> di </w:t>
      </w:r>
      <w:r w:rsidR="004A1289" w:rsidRPr="008A4396">
        <w:rPr>
          <w:rFonts w:ascii="Calibri" w:hAnsi="Calibri" w:cs="Calibri"/>
          <w:sz w:val="22"/>
          <w:szCs w:val="22"/>
        </w:rPr>
        <w:t xml:space="preserve">Studio Cappelletti+Fumagalli, </w:t>
      </w:r>
      <w:r w:rsidR="004A1289">
        <w:rPr>
          <w:rFonts w:ascii="Calibri" w:hAnsi="Calibri" w:cs="Calibri"/>
          <w:sz w:val="22"/>
          <w:szCs w:val="22"/>
        </w:rPr>
        <w:t xml:space="preserve">sarà collocato al </w:t>
      </w:r>
      <w:r w:rsidR="004A1289" w:rsidRPr="004A1289">
        <w:rPr>
          <w:rFonts w:ascii="Calibri" w:hAnsi="Calibri" w:cs="Calibri"/>
          <w:b/>
          <w:bCs/>
          <w:sz w:val="22"/>
          <w:szCs w:val="22"/>
        </w:rPr>
        <w:t>padiglione D1</w:t>
      </w:r>
      <w:r w:rsidR="004A1289">
        <w:rPr>
          <w:rFonts w:ascii="Calibri" w:hAnsi="Calibri" w:cs="Calibri"/>
          <w:sz w:val="22"/>
          <w:szCs w:val="22"/>
        </w:rPr>
        <w:t xml:space="preserve">. </w:t>
      </w:r>
      <w:r w:rsidRPr="008A4396">
        <w:rPr>
          <w:rFonts w:ascii="Calibri" w:hAnsi="Calibri" w:cs="Calibri"/>
          <w:sz w:val="22"/>
          <w:szCs w:val="22"/>
        </w:rPr>
        <w:t xml:space="preserve">Al turismo balneare è dedicato il </w:t>
      </w:r>
      <w:r w:rsidRPr="008A4396">
        <w:rPr>
          <w:rStyle w:val="Enfasigrassetto"/>
          <w:rFonts w:ascii="Calibri" w:eastAsiaTheme="majorEastAsia" w:hAnsi="Calibri" w:cs="Calibri"/>
          <w:sz w:val="22"/>
          <w:szCs w:val="22"/>
        </w:rPr>
        <w:t>Beach Village</w:t>
      </w:r>
      <w:r w:rsidRPr="008A4396">
        <w:rPr>
          <w:rFonts w:ascii="Calibri" w:hAnsi="Calibri" w:cs="Calibri"/>
          <w:sz w:val="22"/>
          <w:szCs w:val="22"/>
        </w:rPr>
        <w:t>, realizzato con Mondo Balneare, un hub per manager di resort, imprenditori e progettisti che qui scoprono soluzioni di arredo e tecnologie per rinnovare stabilimenti e spazi outdoor. Infine</w:t>
      </w:r>
      <w:r w:rsidR="00E17E84">
        <w:rPr>
          <w:rFonts w:ascii="Calibri" w:hAnsi="Calibri" w:cs="Calibri"/>
          <w:sz w:val="22"/>
          <w:szCs w:val="22"/>
        </w:rPr>
        <w:t>,</w:t>
      </w:r>
      <w:r w:rsidRPr="008A4396">
        <w:rPr>
          <w:rFonts w:ascii="Calibri" w:hAnsi="Calibri" w:cs="Calibri"/>
          <w:sz w:val="22"/>
          <w:szCs w:val="22"/>
        </w:rPr>
        <w:t xml:space="preserve"> nel </w:t>
      </w:r>
      <w:r w:rsidRPr="008075FB">
        <w:rPr>
          <w:rFonts w:ascii="Calibri" w:hAnsi="Calibri" w:cs="Calibri"/>
          <w:b/>
          <w:bCs/>
          <w:sz w:val="22"/>
          <w:szCs w:val="22"/>
        </w:rPr>
        <w:t>Padiglione B2</w:t>
      </w:r>
      <w:r w:rsidRPr="008A4396">
        <w:rPr>
          <w:rFonts w:ascii="Calibri" w:hAnsi="Calibri" w:cs="Calibri"/>
          <w:sz w:val="22"/>
          <w:szCs w:val="22"/>
        </w:rPr>
        <w:t xml:space="preserve">, </w:t>
      </w:r>
      <w:r w:rsidR="00E17E84">
        <w:rPr>
          <w:rFonts w:ascii="Calibri" w:hAnsi="Calibri" w:cs="Calibri"/>
          <w:sz w:val="22"/>
          <w:szCs w:val="22"/>
        </w:rPr>
        <w:t xml:space="preserve">si troverà il </w:t>
      </w:r>
      <w:r w:rsidR="00E17E84" w:rsidRPr="008A4396">
        <w:rPr>
          <w:rStyle w:val="Enfasigrassetto"/>
          <w:rFonts w:ascii="Calibri" w:eastAsiaTheme="majorEastAsia" w:hAnsi="Calibri" w:cs="Calibri"/>
          <w:sz w:val="22"/>
          <w:szCs w:val="22"/>
        </w:rPr>
        <w:t>Thinking Box</w:t>
      </w:r>
      <w:r w:rsidR="00E17E84">
        <w:rPr>
          <w:rStyle w:val="Enfasigrassetto"/>
          <w:rFonts w:ascii="Calibri" w:eastAsiaTheme="majorEastAsia" w:hAnsi="Calibri" w:cs="Calibri"/>
          <w:sz w:val="22"/>
          <w:szCs w:val="22"/>
        </w:rPr>
        <w:t xml:space="preserve">, </w:t>
      </w:r>
      <w:r w:rsidR="00E17E84" w:rsidRPr="00E17E84">
        <w:rPr>
          <w:rStyle w:val="Enfasigrassetto"/>
          <w:rFonts w:ascii="Calibri" w:eastAsiaTheme="majorEastAsia" w:hAnsi="Calibri" w:cs="Calibri"/>
          <w:b w:val="0"/>
          <w:bCs w:val="0"/>
          <w:sz w:val="22"/>
          <w:szCs w:val="22"/>
        </w:rPr>
        <w:t>lo spazio</w:t>
      </w:r>
      <w:r w:rsidR="00E17E84" w:rsidRPr="008A4396">
        <w:rPr>
          <w:rFonts w:ascii="Calibri" w:hAnsi="Calibri" w:cs="Calibri"/>
          <w:sz w:val="22"/>
          <w:szCs w:val="22"/>
        </w:rPr>
        <w:t xml:space="preserve"> </w:t>
      </w:r>
      <w:r w:rsidRPr="008A4396">
        <w:rPr>
          <w:rFonts w:ascii="Calibri" w:hAnsi="Calibri" w:cs="Calibri"/>
          <w:sz w:val="22"/>
          <w:szCs w:val="22"/>
        </w:rPr>
        <w:t xml:space="preserve">organizzato con l’Ordine degli Architetti di Rimini, </w:t>
      </w:r>
      <w:r w:rsidR="00E17E84">
        <w:rPr>
          <w:rFonts w:ascii="Calibri" w:hAnsi="Calibri" w:cs="Calibri"/>
          <w:sz w:val="22"/>
          <w:szCs w:val="22"/>
        </w:rPr>
        <w:t xml:space="preserve">che </w:t>
      </w:r>
      <w:r w:rsidRPr="008A4396">
        <w:rPr>
          <w:rFonts w:ascii="Calibri" w:hAnsi="Calibri" w:cs="Calibri"/>
          <w:sz w:val="22"/>
          <w:szCs w:val="22"/>
        </w:rPr>
        <w:t>accoglie fino a 600 professionisti con un programma di seminari deontologici dedicati ai nuovi concept dell’accoglienza.</w:t>
      </w:r>
    </w:p>
    <w:p w14:paraId="23E0A12A" w14:textId="5BD3B073" w:rsidR="008A4396" w:rsidRPr="008A4396" w:rsidRDefault="008A4396" w:rsidP="008A4396">
      <w:pPr>
        <w:jc w:val="both"/>
        <w:rPr>
          <w:rFonts w:ascii="Calibri" w:hAnsi="Calibri" w:cs="Calibri"/>
          <w:b/>
          <w:bCs/>
        </w:rPr>
      </w:pPr>
      <w:r>
        <w:rPr>
          <w:rFonts w:ascii="Calibri" w:hAnsi="Calibri" w:cs="Calibri"/>
          <w:b/>
          <w:bCs/>
        </w:rPr>
        <w:t>Le arene</w:t>
      </w:r>
    </w:p>
    <w:p w14:paraId="203EB32C" w14:textId="50A77A43" w:rsidR="00CD68D2" w:rsidRDefault="00F90923" w:rsidP="00DE3EBB">
      <w:pPr>
        <w:spacing w:line="240" w:lineRule="auto"/>
        <w:contextualSpacing/>
        <w:jc w:val="both"/>
        <w:rPr>
          <w:rFonts w:ascii="Calibri" w:hAnsi="Calibri" w:cs="Calibri"/>
        </w:rPr>
      </w:pPr>
      <w:r w:rsidRPr="00F90923">
        <w:rPr>
          <w:rFonts w:ascii="Calibri" w:hAnsi="Calibri" w:cs="Calibri"/>
        </w:rPr>
        <w:t xml:space="preserve">All’interno di InOut | The Hospitality Community, il confronto prende forma soprattutto nelle due arene principali. La </w:t>
      </w:r>
      <w:r w:rsidRPr="00F90923">
        <w:rPr>
          <w:rFonts w:ascii="Calibri" w:hAnsi="Calibri" w:cs="Calibri"/>
          <w:b/>
          <w:bCs/>
        </w:rPr>
        <w:t>Beach Arena</w:t>
      </w:r>
      <w:r w:rsidRPr="00F90923">
        <w:rPr>
          <w:rFonts w:ascii="Calibri" w:hAnsi="Calibri" w:cs="Calibri"/>
        </w:rPr>
        <w:t xml:space="preserve">, allestita nella Hall B5/D5, sarà il palcoscenico dei dibattiti dedicati alla nuova era del turismo balneare: un osservatorio privilegiato sulle abitudini dei clienti, sulla loro propensione alla spesa e sulle strategie che guideranno il futuro del settore. La </w:t>
      </w:r>
      <w:r w:rsidRPr="00F90923">
        <w:rPr>
          <w:rFonts w:ascii="Calibri" w:hAnsi="Calibri" w:cs="Calibri"/>
          <w:b/>
          <w:bCs/>
        </w:rPr>
        <w:t>InOut Arena</w:t>
      </w:r>
      <w:r w:rsidRPr="00F90923">
        <w:rPr>
          <w:rFonts w:ascii="Calibri" w:hAnsi="Calibri" w:cs="Calibri"/>
        </w:rPr>
        <w:t>, nel Padiglione D3, diventa invece il luogo in cui l’ospitalità si trasforma in visione e ispirazione. Qui si discuterà di piattaforme intelligenti per un marketing alberghiero più efficace, delle tecnologie che stanno rivoluzionando l’hôtellerie, del wellness come nuova frontiera dell’esperienza di viaggio e del ruolo della ristorazione, sempre più motore di attrattività per le destinazioni.</w:t>
      </w:r>
    </w:p>
    <w:p w14:paraId="1889B35F" w14:textId="77777777" w:rsidR="00B44D88" w:rsidRDefault="00B44D88" w:rsidP="004E5E3A">
      <w:pPr>
        <w:jc w:val="both"/>
        <w:rPr>
          <w:rFonts w:ascii="Calibri" w:eastAsia="Times New Roman" w:hAnsi="Calibri" w:cs="Calibri"/>
          <w:b/>
          <w:bCs/>
          <w:kern w:val="0"/>
          <w:lang w:eastAsia="it-IT"/>
          <w14:ligatures w14:val="none"/>
        </w:rPr>
      </w:pPr>
    </w:p>
    <w:p w14:paraId="5877D918" w14:textId="0F7F0FB1" w:rsidR="004E5E3A" w:rsidRPr="00D32287" w:rsidRDefault="004E5E3A" w:rsidP="004E5E3A">
      <w:pPr>
        <w:jc w:val="both"/>
        <w:rPr>
          <w:b/>
          <w:bCs/>
          <w:sz w:val="18"/>
          <w:szCs w:val="18"/>
          <w:lang w:val="en-US"/>
        </w:rPr>
      </w:pPr>
      <w:r w:rsidRPr="00D32287">
        <w:rPr>
          <w:b/>
          <w:bCs/>
          <w:sz w:val="18"/>
          <w:szCs w:val="18"/>
          <w:lang w:val="en-US"/>
        </w:rPr>
        <w:t>ABOUT TTG TRAVEL EXPERIENCE – INOUT | The Hospitality Community</w:t>
      </w:r>
    </w:p>
    <w:p w14:paraId="79A3894F" w14:textId="2C780139" w:rsidR="004E5E3A" w:rsidRPr="00D32287" w:rsidRDefault="004E5E3A" w:rsidP="004E5E3A">
      <w:pPr>
        <w:jc w:val="both"/>
        <w:rPr>
          <w:sz w:val="18"/>
          <w:szCs w:val="18"/>
        </w:rPr>
      </w:pPr>
      <w:r w:rsidRPr="00D32287">
        <w:rPr>
          <w:b/>
          <w:bCs/>
          <w:sz w:val="18"/>
          <w:szCs w:val="18"/>
        </w:rPr>
        <w:t>Evento</w:t>
      </w:r>
      <w:r w:rsidRPr="00D32287">
        <w:rPr>
          <w:sz w:val="18"/>
          <w:szCs w:val="18"/>
        </w:rPr>
        <w:t xml:space="preserve">: fiera internazionale; </w:t>
      </w:r>
      <w:r w:rsidRPr="00D32287">
        <w:rPr>
          <w:b/>
          <w:bCs/>
          <w:sz w:val="18"/>
          <w:szCs w:val="18"/>
        </w:rPr>
        <w:t>organizzatore</w:t>
      </w:r>
      <w:r w:rsidRPr="00D32287">
        <w:rPr>
          <w:sz w:val="18"/>
          <w:szCs w:val="18"/>
        </w:rPr>
        <w:t xml:space="preserve">: Italian Exhibition Group SpA; </w:t>
      </w:r>
      <w:r w:rsidRPr="00D32287">
        <w:rPr>
          <w:b/>
          <w:bCs/>
          <w:sz w:val="18"/>
          <w:szCs w:val="18"/>
        </w:rPr>
        <w:t>frequenza</w:t>
      </w:r>
      <w:r w:rsidRPr="00D32287">
        <w:rPr>
          <w:sz w:val="18"/>
          <w:szCs w:val="18"/>
        </w:rPr>
        <w:t xml:space="preserve">: annuale; </w:t>
      </w:r>
      <w:r w:rsidRPr="00D32287">
        <w:rPr>
          <w:b/>
          <w:bCs/>
          <w:sz w:val="18"/>
          <w:szCs w:val="18"/>
        </w:rPr>
        <w:t>edizione</w:t>
      </w:r>
      <w:r w:rsidRPr="00D32287">
        <w:rPr>
          <w:sz w:val="18"/>
          <w:szCs w:val="18"/>
        </w:rPr>
        <w:t xml:space="preserve">: 62ª; </w:t>
      </w:r>
      <w:r w:rsidRPr="00D32287">
        <w:rPr>
          <w:b/>
          <w:bCs/>
          <w:sz w:val="18"/>
          <w:szCs w:val="18"/>
        </w:rPr>
        <w:t>accesso</w:t>
      </w:r>
      <w:r w:rsidRPr="00D32287">
        <w:rPr>
          <w:sz w:val="18"/>
          <w:szCs w:val="18"/>
        </w:rPr>
        <w:t xml:space="preserve">: riservato esclusivamente agli operatori professionali; </w:t>
      </w:r>
      <w:r w:rsidRPr="00D32287">
        <w:rPr>
          <w:b/>
          <w:bCs/>
          <w:sz w:val="18"/>
          <w:szCs w:val="18"/>
        </w:rPr>
        <w:t>website</w:t>
      </w:r>
      <w:r w:rsidRPr="00D32287">
        <w:rPr>
          <w:sz w:val="18"/>
          <w:szCs w:val="18"/>
        </w:rPr>
        <w:t>: </w:t>
      </w:r>
      <w:hyperlink r:id="rId10" w:tooltip="´web" w:history="1">
        <w:r w:rsidRPr="00D32287">
          <w:rPr>
            <w:rStyle w:val="Collegamentoipertestuale"/>
            <w:sz w:val="18"/>
            <w:szCs w:val="18"/>
          </w:rPr>
          <w:t>www.ttgexpo.it</w:t>
        </w:r>
      </w:hyperlink>
      <w:r w:rsidRPr="00D32287">
        <w:rPr>
          <w:sz w:val="18"/>
          <w:szCs w:val="18"/>
        </w:rPr>
        <w:t xml:space="preserve"> - #ttgexpo </w:t>
      </w:r>
    </w:p>
    <w:p w14:paraId="11D78BA5" w14:textId="77777777" w:rsidR="004E5E3A" w:rsidRPr="00D32287" w:rsidRDefault="004E5E3A" w:rsidP="004E5E3A">
      <w:pPr>
        <w:jc w:val="both"/>
        <w:rPr>
          <w:b/>
          <w:bCs/>
          <w:sz w:val="18"/>
          <w:szCs w:val="18"/>
          <w:lang w:val="en-US"/>
        </w:rPr>
      </w:pPr>
      <w:r w:rsidRPr="00D32287">
        <w:rPr>
          <w:b/>
          <w:bCs/>
          <w:sz w:val="18"/>
          <w:szCs w:val="18"/>
          <w:lang w:val="en-US"/>
        </w:rPr>
        <w:t>PRESS CONTACT IEG, TTG TRAVEL EXPERIENCE</w:t>
      </w:r>
    </w:p>
    <w:p w14:paraId="1514FACE" w14:textId="77777777" w:rsidR="004E5E3A" w:rsidRPr="006A0FA9" w:rsidRDefault="004E5E3A" w:rsidP="004E5E3A">
      <w:pPr>
        <w:jc w:val="both"/>
        <w:rPr>
          <w:sz w:val="18"/>
          <w:szCs w:val="18"/>
        </w:rPr>
      </w:pPr>
      <w:r w:rsidRPr="006A0FA9">
        <w:rPr>
          <w:sz w:val="18"/>
          <w:szCs w:val="18"/>
        </w:rPr>
        <w:t>Elisabetta Vitali, head of corporate communication &amp; media relation; Marco Forcellini, Pier Francesco Bellini, press office manager</w:t>
      </w:r>
    </w:p>
    <w:p w14:paraId="057196E6" w14:textId="12D3B795" w:rsidR="004E5E3A" w:rsidRPr="00D32287" w:rsidRDefault="004E5E3A" w:rsidP="004E5E3A">
      <w:pPr>
        <w:jc w:val="both"/>
        <w:rPr>
          <w:sz w:val="18"/>
          <w:szCs w:val="18"/>
          <w:u w:val="single"/>
          <w:lang w:val="en-US"/>
        </w:rPr>
      </w:pPr>
      <w:hyperlink r:id="rId11" w:history="1">
        <w:r w:rsidRPr="00D32287">
          <w:rPr>
            <w:rStyle w:val="Collegamentoipertestuale"/>
            <w:sz w:val="18"/>
            <w:szCs w:val="18"/>
            <w:lang w:val="en-US"/>
          </w:rPr>
          <w:t>media@iegexpo.it</w:t>
        </w:r>
      </w:hyperlink>
    </w:p>
    <w:p w14:paraId="71B6989E" w14:textId="77777777" w:rsidR="004E5E3A" w:rsidRPr="00D32287" w:rsidRDefault="004E5E3A" w:rsidP="004E5E3A">
      <w:pPr>
        <w:jc w:val="both"/>
        <w:rPr>
          <w:sz w:val="18"/>
          <w:szCs w:val="18"/>
          <w:u w:val="single"/>
          <w:lang w:val="en-US"/>
        </w:rPr>
      </w:pPr>
      <w:r w:rsidRPr="00D32287">
        <w:rPr>
          <w:b/>
          <w:bCs/>
          <w:sz w:val="18"/>
          <w:szCs w:val="18"/>
          <w:lang w:val="en-US"/>
        </w:rPr>
        <w:t>MEDIA AGENCY TTG TRAVEL EXPERIENCE</w:t>
      </w:r>
    </w:p>
    <w:p w14:paraId="67C5962C" w14:textId="191287A1" w:rsidR="004E5E3A" w:rsidRPr="00CA7427" w:rsidRDefault="004E5E3A" w:rsidP="004E5E3A">
      <w:pPr>
        <w:jc w:val="both"/>
        <w:rPr>
          <w:sz w:val="18"/>
          <w:szCs w:val="18"/>
          <w:u w:val="single"/>
        </w:rPr>
      </w:pPr>
      <w:r w:rsidRPr="00D32287">
        <w:rPr>
          <w:sz w:val="18"/>
          <w:szCs w:val="18"/>
        </w:rPr>
        <w:t xml:space="preserve">Martina Vacca: </w:t>
      </w:r>
      <w:hyperlink r:id="rId12" w:history="1">
        <w:r w:rsidRPr="00D32287">
          <w:rPr>
            <w:rStyle w:val="Collegamentoipertestuale"/>
            <w:sz w:val="18"/>
            <w:szCs w:val="18"/>
          </w:rPr>
          <w:t>martina@mindthepop.it</w:t>
        </w:r>
      </w:hyperlink>
      <w:r w:rsidRPr="00D32287">
        <w:rPr>
          <w:sz w:val="18"/>
          <w:szCs w:val="18"/>
        </w:rPr>
        <w:t xml:space="preserve">, mob. +39 339 748 </w:t>
      </w:r>
      <w:r w:rsidR="00790F19">
        <w:rPr>
          <w:sz w:val="18"/>
          <w:szCs w:val="18"/>
        </w:rPr>
        <w:t>5</w:t>
      </w:r>
      <w:r w:rsidRPr="00D32287">
        <w:rPr>
          <w:sz w:val="18"/>
          <w:szCs w:val="18"/>
        </w:rPr>
        <w:t xml:space="preserve">994; Fabrizio Raimondi: </w:t>
      </w:r>
      <w:hyperlink r:id="rId13" w:history="1">
        <w:r w:rsidRPr="00D32287">
          <w:rPr>
            <w:rStyle w:val="Collegamentoipertestuale"/>
            <w:sz w:val="18"/>
            <w:szCs w:val="18"/>
          </w:rPr>
          <w:t>fabrizio@mindthepop.it</w:t>
        </w:r>
      </w:hyperlink>
      <w:r w:rsidRPr="00D32287">
        <w:rPr>
          <w:sz w:val="18"/>
          <w:szCs w:val="18"/>
        </w:rPr>
        <w:t xml:space="preserve">, mob. +39 335 389 848; Benedetto Colli: </w:t>
      </w:r>
      <w:hyperlink r:id="rId14" w:history="1">
        <w:r w:rsidRPr="00D32287">
          <w:rPr>
            <w:rStyle w:val="Collegamentoipertestuale"/>
            <w:sz w:val="18"/>
            <w:szCs w:val="18"/>
          </w:rPr>
          <w:t>benedetto@mindthepop.it</w:t>
        </w:r>
      </w:hyperlink>
      <w:r w:rsidRPr="00D32287">
        <w:rPr>
          <w:sz w:val="18"/>
          <w:szCs w:val="18"/>
        </w:rPr>
        <w:t xml:space="preserve">, mob. 380 371 2272; Stefano Chiossi: </w:t>
      </w:r>
      <w:hyperlink r:id="rId15" w:history="1">
        <w:r w:rsidRPr="00D32287">
          <w:rPr>
            <w:rStyle w:val="Collegamentoipertestuale"/>
            <w:sz w:val="18"/>
            <w:szCs w:val="18"/>
          </w:rPr>
          <w:t>stefano@mindthepop.it</w:t>
        </w:r>
      </w:hyperlink>
      <w:r w:rsidRPr="00D32287">
        <w:rPr>
          <w:sz w:val="18"/>
          <w:szCs w:val="18"/>
        </w:rPr>
        <w:t>, mob. + 39 388 739 4358.</w:t>
      </w:r>
    </w:p>
    <w:p w14:paraId="221F0C39" w14:textId="67F8A9F5" w:rsidR="004E5E3A" w:rsidRPr="004E5E3A" w:rsidRDefault="004E5E3A" w:rsidP="004E5E3A">
      <w:pPr>
        <w:jc w:val="both"/>
      </w:pPr>
      <w:r w:rsidRPr="004E5E3A">
        <w:rPr>
          <w:noProof/>
        </w:rPr>
        <w:lastRenderedPageBreak/>
        <w:drawing>
          <wp:inline distT="0" distB="0" distL="0" distR="0" wp14:anchorId="300D4009" wp14:editId="5D5DF6FE">
            <wp:extent cx="4984750" cy="1562100"/>
            <wp:effectExtent l="0" t="0" r="6350" b="0"/>
            <wp:docPr id="874902320" name="Immagine 2" descr="Immagine che contiene testo, Carattere, schermata, design&#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magine che contiene testo, Carattere, schermata, design&#10;&#10;Descrizione generata automaticamente"/>
                    <pic:cNvPicPr>
                      <a:picLocks noChangeAspect="1" noChangeArrowheads="1"/>
                    </pic:cNvPicPr>
                  </pic:nvPicPr>
                  <pic:blipFill>
                    <a:blip r:embed="rId16" r:link="rId17" cstate="print">
                      <a:extLst>
                        <a:ext uri="{28A0092B-C50C-407E-A947-70E740481C1C}">
                          <a14:useLocalDpi xmlns:a14="http://schemas.microsoft.com/office/drawing/2010/main" val="0"/>
                        </a:ext>
                      </a:extLst>
                    </a:blip>
                    <a:srcRect/>
                    <a:stretch>
                      <a:fillRect/>
                    </a:stretch>
                  </pic:blipFill>
                  <pic:spPr bwMode="auto">
                    <a:xfrm>
                      <a:off x="0" y="0"/>
                      <a:ext cx="4984750" cy="1562100"/>
                    </a:xfrm>
                    <a:prstGeom prst="rect">
                      <a:avLst/>
                    </a:prstGeom>
                    <a:noFill/>
                    <a:ln>
                      <a:noFill/>
                    </a:ln>
                  </pic:spPr>
                </pic:pic>
              </a:graphicData>
            </a:graphic>
          </wp:inline>
        </w:drawing>
      </w:r>
    </w:p>
    <w:p w14:paraId="212BCB3E" w14:textId="1ADD91E7" w:rsidR="00D027C0" w:rsidRPr="00CC3B27" w:rsidRDefault="004E5E3A" w:rsidP="00D027C0">
      <w:pPr>
        <w:jc w:val="both"/>
        <w:rPr>
          <w:sz w:val="16"/>
          <w:szCs w:val="16"/>
        </w:rPr>
      </w:pPr>
      <w:r w:rsidRPr="00CC3B27">
        <w:rPr>
          <w:sz w:val="16"/>
          <w:szCs w:val="16"/>
        </w:rPr>
        <w:t>Il presente comunicato stampa contiene elementi previsionali e stime che riflettono le attuali opinioni del management (“forward- looking statements”) specie per quanto riguarda performance gestionali future, realizzazione di investimenti, andamento dei flussi di cassa ed evoluzione della struttura finanziaria. I forward-looking statements hanno per loro natura una componente di rischio ed incertezza perché dipendono dal verificarsi di eventi futuri. I risultati effettivi potranno differire anche in misura significativa rispetto a quelli annunciati, in relazione a una pluralità di fattori tra cui, a solo titolo esemplificativo: andamento del mercato della ristorazione fuori casa e dei flussi turistici in Italia, andamento del mercato orafo - gioielliero, andamento del mercato della green economy; evoluzione del prezzo delle materie prime; condizioni macroeconomiche generali; fattori geopolitici ed evoluzioni del quadro normativo. Le informazioni contenute nel presente comunicato, inoltre, non pretendono di essere complete, né sono state verificate da terze parti indipendenti. Le proiezioni, le stime e gli obiettivi qui presentati si basano sulle informazioni a disposizione della Società alla data del presente comunicato.</w:t>
      </w:r>
    </w:p>
    <w:sectPr w:rsidR="00D027C0" w:rsidRPr="00CC3B27">
      <w:headerReference w:type="default" r:id="rId1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BEA63F" w14:textId="77777777" w:rsidR="00D967FA" w:rsidRDefault="00D967FA" w:rsidP="00D32287">
      <w:pPr>
        <w:spacing w:after="0" w:line="240" w:lineRule="auto"/>
      </w:pPr>
      <w:r>
        <w:separator/>
      </w:r>
    </w:p>
  </w:endnote>
  <w:endnote w:type="continuationSeparator" w:id="0">
    <w:p w14:paraId="52DA9977" w14:textId="77777777" w:rsidR="00D967FA" w:rsidRDefault="00D967FA" w:rsidP="00D322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CD8AFB" w14:textId="77777777" w:rsidR="00D967FA" w:rsidRDefault="00D967FA" w:rsidP="00D32287">
      <w:pPr>
        <w:spacing w:after="0" w:line="240" w:lineRule="auto"/>
      </w:pPr>
      <w:r>
        <w:separator/>
      </w:r>
    </w:p>
  </w:footnote>
  <w:footnote w:type="continuationSeparator" w:id="0">
    <w:p w14:paraId="4867A2D6" w14:textId="77777777" w:rsidR="00D967FA" w:rsidRDefault="00D967FA" w:rsidP="00D322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3CB04A" w14:textId="08039333" w:rsidR="00D32287" w:rsidRPr="00CC3B27" w:rsidRDefault="00CC3B27" w:rsidP="00CC3B27">
    <w:pPr>
      <w:pStyle w:val="Intestazione"/>
    </w:pPr>
    <w:r>
      <w:rPr>
        <w:noProof/>
      </w:rPr>
      <w:drawing>
        <wp:inline distT="0" distB="0" distL="0" distR="0" wp14:anchorId="63C39B13" wp14:editId="1914ACD1">
          <wp:extent cx="6120130" cy="735965"/>
          <wp:effectExtent l="0" t="0" r="0" b="6985"/>
          <wp:docPr id="182286620"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73596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173A9"/>
    <w:multiLevelType w:val="hybridMultilevel"/>
    <w:tmpl w:val="BD9825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D396F7C"/>
    <w:multiLevelType w:val="hybridMultilevel"/>
    <w:tmpl w:val="7A6C1A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20E5BFC"/>
    <w:multiLevelType w:val="hybridMultilevel"/>
    <w:tmpl w:val="55680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2713290"/>
    <w:multiLevelType w:val="multilevel"/>
    <w:tmpl w:val="DE946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C20328"/>
    <w:multiLevelType w:val="multilevel"/>
    <w:tmpl w:val="7278F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281458"/>
    <w:multiLevelType w:val="multilevel"/>
    <w:tmpl w:val="76AC0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884C9A"/>
    <w:multiLevelType w:val="multilevel"/>
    <w:tmpl w:val="F03A8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977403"/>
    <w:multiLevelType w:val="multilevel"/>
    <w:tmpl w:val="B92ED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AE19D9"/>
    <w:multiLevelType w:val="multilevel"/>
    <w:tmpl w:val="7C9E4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7871DAF"/>
    <w:multiLevelType w:val="hybridMultilevel"/>
    <w:tmpl w:val="EAB4C0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DE53220"/>
    <w:multiLevelType w:val="hybridMultilevel"/>
    <w:tmpl w:val="CEE8227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1" w15:restartNumberingAfterBreak="0">
    <w:nsid w:val="46660238"/>
    <w:multiLevelType w:val="hybridMultilevel"/>
    <w:tmpl w:val="932A5F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6CC3EA8"/>
    <w:multiLevelType w:val="hybridMultilevel"/>
    <w:tmpl w:val="2DA47CD0"/>
    <w:lvl w:ilvl="0" w:tplc="6EEE0EFC">
      <w:numFmt w:val="bullet"/>
      <w:lvlText w:val="-"/>
      <w:lvlJc w:val="left"/>
      <w:pPr>
        <w:ind w:left="720" w:hanging="360"/>
      </w:pPr>
      <w:rPr>
        <w:rFonts w:ascii="Aptos" w:eastAsiaTheme="minorHAnsi" w:hAnsi="Aptos"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E5260FB"/>
    <w:multiLevelType w:val="hybridMultilevel"/>
    <w:tmpl w:val="83027A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5E90C39"/>
    <w:multiLevelType w:val="multilevel"/>
    <w:tmpl w:val="2A4C0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48167AA"/>
    <w:multiLevelType w:val="multilevel"/>
    <w:tmpl w:val="72268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6EE0A53"/>
    <w:multiLevelType w:val="multilevel"/>
    <w:tmpl w:val="6DC0C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1F504D8"/>
    <w:multiLevelType w:val="multilevel"/>
    <w:tmpl w:val="0ABC0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42A4748"/>
    <w:multiLevelType w:val="multilevel"/>
    <w:tmpl w:val="CB864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4C614D9"/>
    <w:multiLevelType w:val="hybridMultilevel"/>
    <w:tmpl w:val="D9401F3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7A590781"/>
    <w:multiLevelType w:val="hybridMultilevel"/>
    <w:tmpl w:val="DB0845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7F955C30"/>
    <w:multiLevelType w:val="multilevel"/>
    <w:tmpl w:val="CD46A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01215009">
    <w:abstractNumId w:val="1"/>
  </w:num>
  <w:num w:numId="2" w16cid:durableId="344476111">
    <w:abstractNumId w:val="1"/>
  </w:num>
  <w:num w:numId="3" w16cid:durableId="828718427">
    <w:abstractNumId w:val="20"/>
  </w:num>
  <w:num w:numId="4" w16cid:durableId="614606354">
    <w:abstractNumId w:val="12"/>
  </w:num>
  <w:num w:numId="5" w16cid:durableId="1381590483">
    <w:abstractNumId w:val="2"/>
  </w:num>
  <w:num w:numId="6" w16cid:durableId="1041982114">
    <w:abstractNumId w:val="10"/>
  </w:num>
  <w:num w:numId="7" w16cid:durableId="1641567310">
    <w:abstractNumId w:val="19"/>
  </w:num>
  <w:num w:numId="8" w16cid:durableId="370617058">
    <w:abstractNumId w:val="7"/>
  </w:num>
  <w:num w:numId="9" w16cid:durableId="1980959534">
    <w:abstractNumId w:val="15"/>
  </w:num>
  <w:num w:numId="10" w16cid:durableId="1179201279">
    <w:abstractNumId w:val="6"/>
  </w:num>
  <w:num w:numId="11" w16cid:durableId="1638293516">
    <w:abstractNumId w:val="16"/>
  </w:num>
  <w:num w:numId="12" w16cid:durableId="40445533">
    <w:abstractNumId w:val="17"/>
  </w:num>
  <w:num w:numId="13" w16cid:durableId="32509559">
    <w:abstractNumId w:val="18"/>
  </w:num>
  <w:num w:numId="14" w16cid:durableId="420954556">
    <w:abstractNumId w:val="8"/>
  </w:num>
  <w:num w:numId="15" w16cid:durableId="1148520384">
    <w:abstractNumId w:val="4"/>
  </w:num>
  <w:num w:numId="16" w16cid:durableId="1357390976">
    <w:abstractNumId w:val="3"/>
  </w:num>
  <w:num w:numId="17" w16cid:durableId="1060860443">
    <w:abstractNumId w:val="5"/>
  </w:num>
  <w:num w:numId="18" w16cid:durableId="216017295">
    <w:abstractNumId w:val="14"/>
  </w:num>
  <w:num w:numId="19" w16cid:durableId="1063023811">
    <w:abstractNumId w:val="21"/>
  </w:num>
  <w:num w:numId="20" w16cid:durableId="344357374">
    <w:abstractNumId w:val="11"/>
  </w:num>
  <w:num w:numId="21" w16cid:durableId="1251162077">
    <w:abstractNumId w:val="13"/>
  </w:num>
  <w:num w:numId="22" w16cid:durableId="412164252">
    <w:abstractNumId w:val="9"/>
  </w:num>
  <w:num w:numId="23" w16cid:durableId="13359608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D02"/>
    <w:rsid w:val="00012467"/>
    <w:rsid w:val="00012EF8"/>
    <w:rsid w:val="000143B1"/>
    <w:rsid w:val="00015F3D"/>
    <w:rsid w:val="000166AE"/>
    <w:rsid w:val="0002295D"/>
    <w:rsid w:val="00023EDB"/>
    <w:rsid w:val="000240F7"/>
    <w:rsid w:val="00027D8E"/>
    <w:rsid w:val="00043210"/>
    <w:rsid w:val="0004795F"/>
    <w:rsid w:val="000506EF"/>
    <w:rsid w:val="00050F5C"/>
    <w:rsid w:val="00054950"/>
    <w:rsid w:val="00060FBA"/>
    <w:rsid w:val="00085BF7"/>
    <w:rsid w:val="00091370"/>
    <w:rsid w:val="000942C4"/>
    <w:rsid w:val="000A0D30"/>
    <w:rsid w:val="000A2373"/>
    <w:rsid w:val="000A575A"/>
    <w:rsid w:val="000B38AD"/>
    <w:rsid w:val="000B627E"/>
    <w:rsid w:val="000C23A1"/>
    <w:rsid w:val="000C666A"/>
    <w:rsid w:val="000C7EB6"/>
    <w:rsid w:val="000D5718"/>
    <w:rsid w:val="000D6F62"/>
    <w:rsid w:val="000E39AB"/>
    <w:rsid w:val="000E6CBF"/>
    <w:rsid w:val="000F5DB2"/>
    <w:rsid w:val="001148C5"/>
    <w:rsid w:val="00135538"/>
    <w:rsid w:val="001364CD"/>
    <w:rsid w:val="001430EF"/>
    <w:rsid w:val="001437E7"/>
    <w:rsid w:val="001547C6"/>
    <w:rsid w:val="00154ED4"/>
    <w:rsid w:val="00160C3C"/>
    <w:rsid w:val="00164E5A"/>
    <w:rsid w:val="00166E89"/>
    <w:rsid w:val="0017179E"/>
    <w:rsid w:val="00175571"/>
    <w:rsid w:val="001837A3"/>
    <w:rsid w:val="001A17C5"/>
    <w:rsid w:val="001A2FD7"/>
    <w:rsid w:val="001B58C1"/>
    <w:rsid w:val="001C08E8"/>
    <w:rsid w:val="001C0946"/>
    <w:rsid w:val="001C5A02"/>
    <w:rsid w:val="001D2922"/>
    <w:rsid w:val="001F0D2E"/>
    <w:rsid w:val="001F4BFE"/>
    <w:rsid w:val="001F5C1E"/>
    <w:rsid w:val="001F7C06"/>
    <w:rsid w:val="00200379"/>
    <w:rsid w:val="00211A24"/>
    <w:rsid w:val="00254923"/>
    <w:rsid w:val="00260CE2"/>
    <w:rsid w:val="00263C53"/>
    <w:rsid w:val="00272A3A"/>
    <w:rsid w:val="002758B6"/>
    <w:rsid w:val="00282FCE"/>
    <w:rsid w:val="00283D80"/>
    <w:rsid w:val="00285785"/>
    <w:rsid w:val="00287889"/>
    <w:rsid w:val="00290D02"/>
    <w:rsid w:val="00294AE9"/>
    <w:rsid w:val="002A49E4"/>
    <w:rsid w:val="002B2AF0"/>
    <w:rsid w:val="002D22C9"/>
    <w:rsid w:val="002F48B6"/>
    <w:rsid w:val="00300EA7"/>
    <w:rsid w:val="00314CAB"/>
    <w:rsid w:val="003256BF"/>
    <w:rsid w:val="0032690E"/>
    <w:rsid w:val="003356D7"/>
    <w:rsid w:val="0034253A"/>
    <w:rsid w:val="00344E96"/>
    <w:rsid w:val="003454C7"/>
    <w:rsid w:val="00347500"/>
    <w:rsid w:val="003503C5"/>
    <w:rsid w:val="003507BB"/>
    <w:rsid w:val="00351D6A"/>
    <w:rsid w:val="0035210C"/>
    <w:rsid w:val="00354D63"/>
    <w:rsid w:val="00363AB4"/>
    <w:rsid w:val="00364189"/>
    <w:rsid w:val="003763B9"/>
    <w:rsid w:val="00382579"/>
    <w:rsid w:val="00384359"/>
    <w:rsid w:val="003851EE"/>
    <w:rsid w:val="00393442"/>
    <w:rsid w:val="0039451C"/>
    <w:rsid w:val="00395EDC"/>
    <w:rsid w:val="003A1666"/>
    <w:rsid w:val="003B6821"/>
    <w:rsid w:val="003C0B92"/>
    <w:rsid w:val="003C1E5C"/>
    <w:rsid w:val="003C3F73"/>
    <w:rsid w:val="003C4B4D"/>
    <w:rsid w:val="003D2A03"/>
    <w:rsid w:val="003D3CF4"/>
    <w:rsid w:val="003D54B6"/>
    <w:rsid w:val="003D6446"/>
    <w:rsid w:val="003E1951"/>
    <w:rsid w:val="003E2E20"/>
    <w:rsid w:val="003F1D23"/>
    <w:rsid w:val="003F248A"/>
    <w:rsid w:val="003F41A0"/>
    <w:rsid w:val="00402207"/>
    <w:rsid w:val="004119B0"/>
    <w:rsid w:val="00412389"/>
    <w:rsid w:val="00417E58"/>
    <w:rsid w:val="00423B37"/>
    <w:rsid w:val="0043315B"/>
    <w:rsid w:val="0043469B"/>
    <w:rsid w:val="00435256"/>
    <w:rsid w:val="00444E30"/>
    <w:rsid w:val="004509D1"/>
    <w:rsid w:val="00451C25"/>
    <w:rsid w:val="00456B88"/>
    <w:rsid w:val="00465D7C"/>
    <w:rsid w:val="00465F95"/>
    <w:rsid w:val="004737FC"/>
    <w:rsid w:val="00481657"/>
    <w:rsid w:val="00482E6A"/>
    <w:rsid w:val="004946CB"/>
    <w:rsid w:val="0049494C"/>
    <w:rsid w:val="0049602F"/>
    <w:rsid w:val="004A1289"/>
    <w:rsid w:val="004A1A67"/>
    <w:rsid w:val="004A3E17"/>
    <w:rsid w:val="004B5D7E"/>
    <w:rsid w:val="004B63EE"/>
    <w:rsid w:val="004C5C9C"/>
    <w:rsid w:val="004D06CD"/>
    <w:rsid w:val="004D2AB4"/>
    <w:rsid w:val="004E5AD0"/>
    <w:rsid w:val="004E5E3A"/>
    <w:rsid w:val="004F6310"/>
    <w:rsid w:val="004F7DC8"/>
    <w:rsid w:val="00507928"/>
    <w:rsid w:val="005234F8"/>
    <w:rsid w:val="005235C9"/>
    <w:rsid w:val="00524B3D"/>
    <w:rsid w:val="00530963"/>
    <w:rsid w:val="005313B9"/>
    <w:rsid w:val="00540EB1"/>
    <w:rsid w:val="00542E2E"/>
    <w:rsid w:val="00543C24"/>
    <w:rsid w:val="005516B0"/>
    <w:rsid w:val="00557DBF"/>
    <w:rsid w:val="00557E6F"/>
    <w:rsid w:val="00572508"/>
    <w:rsid w:val="00577FC0"/>
    <w:rsid w:val="00585975"/>
    <w:rsid w:val="00587269"/>
    <w:rsid w:val="0059095E"/>
    <w:rsid w:val="00591E46"/>
    <w:rsid w:val="005A5646"/>
    <w:rsid w:val="005A7FBB"/>
    <w:rsid w:val="005B11E7"/>
    <w:rsid w:val="005B36CA"/>
    <w:rsid w:val="005B5FA5"/>
    <w:rsid w:val="005D2F6A"/>
    <w:rsid w:val="005D3EFB"/>
    <w:rsid w:val="005D5165"/>
    <w:rsid w:val="005D5725"/>
    <w:rsid w:val="005E33D3"/>
    <w:rsid w:val="005E44B5"/>
    <w:rsid w:val="005F3E9C"/>
    <w:rsid w:val="006110D9"/>
    <w:rsid w:val="00612EE7"/>
    <w:rsid w:val="006203E0"/>
    <w:rsid w:val="00621A55"/>
    <w:rsid w:val="006327D7"/>
    <w:rsid w:val="0063602E"/>
    <w:rsid w:val="00636446"/>
    <w:rsid w:val="00650C02"/>
    <w:rsid w:val="00670424"/>
    <w:rsid w:val="00675E96"/>
    <w:rsid w:val="00682E1A"/>
    <w:rsid w:val="006907E9"/>
    <w:rsid w:val="00695B5D"/>
    <w:rsid w:val="006A0FA9"/>
    <w:rsid w:val="006A25CC"/>
    <w:rsid w:val="006A3CEB"/>
    <w:rsid w:val="006A5158"/>
    <w:rsid w:val="006A6040"/>
    <w:rsid w:val="006A6FC5"/>
    <w:rsid w:val="006B0797"/>
    <w:rsid w:val="006B5475"/>
    <w:rsid w:val="006B5721"/>
    <w:rsid w:val="006D3EC4"/>
    <w:rsid w:val="006D5FB6"/>
    <w:rsid w:val="006F5292"/>
    <w:rsid w:val="006F69A8"/>
    <w:rsid w:val="006F75C9"/>
    <w:rsid w:val="007015AE"/>
    <w:rsid w:val="00715BD8"/>
    <w:rsid w:val="007200B5"/>
    <w:rsid w:val="00722609"/>
    <w:rsid w:val="00750819"/>
    <w:rsid w:val="00753ED5"/>
    <w:rsid w:val="00757AFF"/>
    <w:rsid w:val="007651F1"/>
    <w:rsid w:val="00767C82"/>
    <w:rsid w:val="00774381"/>
    <w:rsid w:val="0077446F"/>
    <w:rsid w:val="00775588"/>
    <w:rsid w:val="00777512"/>
    <w:rsid w:val="007808CD"/>
    <w:rsid w:val="00780CE7"/>
    <w:rsid w:val="007862F0"/>
    <w:rsid w:val="00790F19"/>
    <w:rsid w:val="00793019"/>
    <w:rsid w:val="007C539A"/>
    <w:rsid w:val="007D2954"/>
    <w:rsid w:val="007F28EF"/>
    <w:rsid w:val="00802AE9"/>
    <w:rsid w:val="008075FB"/>
    <w:rsid w:val="00810487"/>
    <w:rsid w:val="00814F93"/>
    <w:rsid w:val="00815807"/>
    <w:rsid w:val="00817768"/>
    <w:rsid w:val="00825244"/>
    <w:rsid w:val="00826EFB"/>
    <w:rsid w:val="00826F2F"/>
    <w:rsid w:val="00832C44"/>
    <w:rsid w:val="008351CB"/>
    <w:rsid w:val="00837F04"/>
    <w:rsid w:val="00845B2D"/>
    <w:rsid w:val="008510E0"/>
    <w:rsid w:val="00853E13"/>
    <w:rsid w:val="008573FC"/>
    <w:rsid w:val="0086050B"/>
    <w:rsid w:val="00861C00"/>
    <w:rsid w:val="00865A6C"/>
    <w:rsid w:val="00866B13"/>
    <w:rsid w:val="00866FFB"/>
    <w:rsid w:val="008718F5"/>
    <w:rsid w:val="00871F78"/>
    <w:rsid w:val="00877232"/>
    <w:rsid w:val="008841BF"/>
    <w:rsid w:val="00884B02"/>
    <w:rsid w:val="0088617B"/>
    <w:rsid w:val="00897683"/>
    <w:rsid w:val="008A294D"/>
    <w:rsid w:val="008A4396"/>
    <w:rsid w:val="008C137D"/>
    <w:rsid w:val="008E240C"/>
    <w:rsid w:val="008E4058"/>
    <w:rsid w:val="008E5DC1"/>
    <w:rsid w:val="008F6C7A"/>
    <w:rsid w:val="008F7E32"/>
    <w:rsid w:val="0090255A"/>
    <w:rsid w:val="009209D6"/>
    <w:rsid w:val="009236B7"/>
    <w:rsid w:val="0092684E"/>
    <w:rsid w:val="0092771F"/>
    <w:rsid w:val="0093213F"/>
    <w:rsid w:val="009339B1"/>
    <w:rsid w:val="00936E39"/>
    <w:rsid w:val="00937944"/>
    <w:rsid w:val="00956564"/>
    <w:rsid w:val="0096405A"/>
    <w:rsid w:val="00964936"/>
    <w:rsid w:val="00981E5D"/>
    <w:rsid w:val="00983262"/>
    <w:rsid w:val="00993731"/>
    <w:rsid w:val="00995572"/>
    <w:rsid w:val="009C1D77"/>
    <w:rsid w:val="009D7613"/>
    <w:rsid w:val="009E5284"/>
    <w:rsid w:val="009F0AE2"/>
    <w:rsid w:val="009F6A63"/>
    <w:rsid w:val="00A177F5"/>
    <w:rsid w:val="00A24873"/>
    <w:rsid w:val="00A24AEC"/>
    <w:rsid w:val="00A279DE"/>
    <w:rsid w:val="00A33A8F"/>
    <w:rsid w:val="00A34FB0"/>
    <w:rsid w:val="00A43DF2"/>
    <w:rsid w:val="00A53692"/>
    <w:rsid w:val="00A548AC"/>
    <w:rsid w:val="00A54E7C"/>
    <w:rsid w:val="00A66FF7"/>
    <w:rsid w:val="00A87394"/>
    <w:rsid w:val="00A9107B"/>
    <w:rsid w:val="00A91C8B"/>
    <w:rsid w:val="00A93A00"/>
    <w:rsid w:val="00AA26C8"/>
    <w:rsid w:val="00AB0C12"/>
    <w:rsid w:val="00AB639B"/>
    <w:rsid w:val="00AE01AA"/>
    <w:rsid w:val="00AE36E9"/>
    <w:rsid w:val="00AE4D68"/>
    <w:rsid w:val="00AF15E5"/>
    <w:rsid w:val="00AF3277"/>
    <w:rsid w:val="00AF41F8"/>
    <w:rsid w:val="00AF4DF7"/>
    <w:rsid w:val="00AF7995"/>
    <w:rsid w:val="00AF7DB9"/>
    <w:rsid w:val="00B056CC"/>
    <w:rsid w:val="00B22342"/>
    <w:rsid w:val="00B255CB"/>
    <w:rsid w:val="00B313A5"/>
    <w:rsid w:val="00B32D81"/>
    <w:rsid w:val="00B33E78"/>
    <w:rsid w:val="00B36189"/>
    <w:rsid w:val="00B44D88"/>
    <w:rsid w:val="00B51DB1"/>
    <w:rsid w:val="00B5295A"/>
    <w:rsid w:val="00B53280"/>
    <w:rsid w:val="00B54D17"/>
    <w:rsid w:val="00B576A4"/>
    <w:rsid w:val="00B6112A"/>
    <w:rsid w:val="00B618F4"/>
    <w:rsid w:val="00B6347F"/>
    <w:rsid w:val="00B67EB6"/>
    <w:rsid w:val="00B84968"/>
    <w:rsid w:val="00B87CB0"/>
    <w:rsid w:val="00B959F1"/>
    <w:rsid w:val="00BA14AE"/>
    <w:rsid w:val="00BA6FC5"/>
    <w:rsid w:val="00BB4BBA"/>
    <w:rsid w:val="00BC0AEF"/>
    <w:rsid w:val="00BC34A7"/>
    <w:rsid w:val="00BC42AB"/>
    <w:rsid w:val="00BE3959"/>
    <w:rsid w:val="00BE4AEB"/>
    <w:rsid w:val="00BE4CA8"/>
    <w:rsid w:val="00BF2420"/>
    <w:rsid w:val="00BF255F"/>
    <w:rsid w:val="00C03526"/>
    <w:rsid w:val="00C05C77"/>
    <w:rsid w:val="00C12011"/>
    <w:rsid w:val="00C1739A"/>
    <w:rsid w:val="00C463BF"/>
    <w:rsid w:val="00C46598"/>
    <w:rsid w:val="00C468B7"/>
    <w:rsid w:val="00C544B7"/>
    <w:rsid w:val="00C70B0E"/>
    <w:rsid w:val="00C724EE"/>
    <w:rsid w:val="00C73E22"/>
    <w:rsid w:val="00C73F15"/>
    <w:rsid w:val="00C845CF"/>
    <w:rsid w:val="00C84C31"/>
    <w:rsid w:val="00C946A1"/>
    <w:rsid w:val="00CA7427"/>
    <w:rsid w:val="00CC3B27"/>
    <w:rsid w:val="00CD394C"/>
    <w:rsid w:val="00CD68D2"/>
    <w:rsid w:val="00CD756B"/>
    <w:rsid w:val="00CE084A"/>
    <w:rsid w:val="00CE3CF1"/>
    <w:rsid w:val="00CE58E1"/>
    <w:rsid w:val="00CE77AA"/>
    <w:rsid w:val="00CF00D1"/>
    <w:rsid w:val="00CF2D00"/>
    <w:rsid w:val="00CF5191"/>
    <w:rsid w:val="00CF5456"/>
    <w:rsid w:val="00D027C0"/>
    <w:rsid w:val="00D04DDA"/>
    <w:rsid w:val="00D204D2"/>
    <w:rsid w:val="00D207E6"/>
    <w:rsid w:val="00D2118E"/>
    <w:rsid w:val="00D21875"/>
    <w:rsid w:val="00D274DE"/>
    <w:rsid w:val="00D30775"/>
    <w:rsid w:val="00D32287"/>
    <w:rsid w:val="00D34821"/>
    <w:rsid w:val="00D4386F"/>
    <w:rsid w:val="00D4631D"/>
    <w:rsid w:val="00D614CC"/>
    <w:rsid w:val="00D6229D"/>
    <w:rsid w:val="00D67167"/>
    <w:rsid w:val="00D757CA"/>
    <w:rsid w:val="00D86C8E"/>
    <w:rsid w:val="00D955D5"/>
    <w:rsid w:val="00D96228"/>
    <w:rsid w:val="00D967FA"/>
    <w:rsid w:val="00DA3413"/>
    <w:rsid w:val="00DB6B98"/>
    <w:rsid w:val="00DC147E"/>
    <w:rsid w:val="00DC6C94"/>
    <w:rsid w:val="00DD15DF"/>
    <w:rsid w:val="00DE02F1"/>
    <w:rsid w:val="00DE1D65"/>
    <w:rsid w:val="00DE3EBB"/>
    <w:rsid w:val="00DF11AA"/>
    <w:rsid w:val="00DF3CE9"/>
    <w:rsid w:val="00E00FA8"/>
    <w:rsid w:val="00E042C2"/>
    <w:rsid w:val="00E042DA"/>
    <w:rsid w:val="00E0739C"/>
    <w:rsid w:val="00E14BB6"/>
    <w:rsid w:val="00E17A3C"/>
    <w:rsid w:val="00E17E84"/>
    <w:rsid w:val="00E26884"/>
    <w:rsid w:val="00E36D3B"/>
    <w:rsid w:val="00E403F9"/>
    <w:rsid w:val="00E41EF0"/>
    <w:rsid w:val="00E51A0C"/>
    <w:rsid w:val="00E51B9A"/>
    <w:rsid w:val="00E55DF4"/>
    <w:rsid w:val="00E5784E"/>
    <w:rsid w:val="00E62B06"/>
    <w:rsid w:val="00E7179D"/>
    <w:rsid w:val="00E81067"/>
    <w:rsid w:val="00E94154"/>
    <w:rsid w:val="00EA2923"/>
    <w:rsid w:val="00EA3225"/>
    <w:rsid w:val="00EC1BDE"/>
    <w:rsid w:val="00ED5AA9"/>
    <w:rsid w:val="00EF5FB0"/>
    <w:rsid w:val="00EF6C86"/>
    <w:rsid w:val="00EF6D28"/>
    <w:rsid w:val="00F05004"/>
    <w:rsid w:val="00F16AF3"/>
    <w:rsid w:val="00F2460E"/>
    <w:rsid w:val="00F256F9"/>
    <w:rsid w:val="00F25AB9"/>
    <w:rsid w:val="00F36C38"/>
    <w:rsid w:val="00F50C65"/>
    <w:rsid w:val="00F65002"/>
    <w:rsid w:val="00F77900"/>
    <w:rsid w:val="00F90923"/>
    <w:rsid w:val="00FB15B7"/>
    <w:rsid w:val="00FB281E"/>
    <w:rsid w:val="00FB6837"/>
    <w:rsid w:val="00FC1B50"/>
    <w:rsid w:val="00FC4464"/>
    <w:rsid w:val="00FD1CF4"/>
    <w:rsid w:val="00FE11A1"/>
    <w:rsid w:val="00FE4FE4"/>
    <w:rsid w:val="00FF2DD2"/>
    <w:rsid w:val="00FF40C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3F81E"/>
  <w15:chartTrackingRefBased/>
  <w15:docId w15:val="{3AD17AB7-558F-4EF2-B225-7D2B66CE5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290D0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unhideWhenUsed/>
    <w:qFormat/>
    <w:rsid w:val="00290D0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290D02"/>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290D02"/>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290D02"/>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290D02"/>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290D02"/>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290D02"/>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290D02"/>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90D02"/>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rsid w:val="00290D02"/>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290D02"/>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290D02"/>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290D02"/>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290D02"/>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290D02"/>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290D02"/>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290D02"/>
    <w:rPr>
      <w:rFonts w:eastAsiaTheme="majorEastAsia" w:cstheme="majorBidi"/>
      <w:color w:val="272727" w:themeColor="text1" w:themeTint="D8"/>
    </w:rPr>
  </w:style>
  <w:style w:type="paragraph" w:styleId="Titolo">
    <w:name w:val="Title"/>
    <w:basedOn w:val="Normale"/>
    <w:next w:val="Normale"/>
    <w:link w:val="TitoloCarattere"/>
    <w:uiPriority w:val="10"/>
    <w:qFormat/>
    <w:rsid w:val="00290D0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290D02"/>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290D02"/>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290D02"/>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290D02"/>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290D02"/>
    <w:rPr>
      <w:i/>
      <w:iCs/>
      <w:color w:val="404040" w:themeColor="text1" w:themeTint="BF"/>
    </w:rPr>
  </w:style>
  <w:style w:type="paragraph" w:styleId="Paragrafoelenco">
    <w:name w:val="List Paragraph"/>
    <w:basedOn w:val="Normale"/>
    <w:uiPriority w:val="34"/>
    <w:qFormat/>
    <w:rsid w:val="00290D02"/>
    <w:pPr>
      <w:ind w:left="720"/>
      <w:contextualSpacing/>
    </w:pPr>
  </w:style>
  <w:style w:type="character" w:styleId="Enfasiintensa">
    <w:name w:val="Intense Emphasis"/>
    <w:basedOn w:val="Carpredefinitoparagrafo"/>
    <w:uiPriority w:val="21"/>
    <w:qFormat/>
    <w:rsid w:val="00290D02"/>
    <w:rPr>
      <w:i/>
      <w:iCs/>
      <w:color w:val="0F4761" w:themeColor="accent1" w:themeShade="BF"/>
    </w:rPr>
  </w:style>
  <w:style w:type="paragraph" w:styleId="Citazioneintensa">
    <w:name w:val="Intense Quote"/>
    <w:basedOn w:val="Normale"/>
    <w:next w:val="Normale"/>
    <w:link w:val="CitazioneintensaCarattere"/>
    <w:uiPriority w:val="30"/>
    <w:qFormat/>
    <w:rsid w:val="00290D0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290D02"/>
    <w:rPr>
      <w:i/>
      <w:iCs/>
      <w:color w:val="0F4761" w:themeColor="accent1" w:themeShade="BF"/>
    </w:rPr>
  </w:style>
  <w:style w:type="character" w:styleId="Riferimentointenso">
    <w:name w:val="Intense Reference"/>
    <w:basedOn w:val="Carpredefinitoparagrafo"/>
    <w:uiPriority w:val="32"/>
    <w:qFormat/>
    <w:rsid w:val="00290D02"/>
    <w:rPr>
      <w:b/>
      <w:bCs/>
      <w:smallCaps/>
      <w:color w:val="0F4761" w:themeColor="accent1" w:themeShade="BF"/>
      <w:spacing w:val="5"/>
    </w:rPr>
  </w:style>
  <w:style w:type="character" w:styleId="Collegamentoipertestuale">
    <w:name w:val="Hyperlink"/>
    <w:basedOn w:val="Carpredefinitoparagrafo"/>
    <w:uiPriority w:val="99"/>
    <w:unhideWhenUsed/>
    <w:rsid w:val="003F41A0"/>
    <w:rPr>
      <w:color w:val="467886" w:themeColor="hyperlink"/>
      <w:u w:val="single"/>
    </w:rPr>
  </w:style>
  <w:style w:type="character" w:styleId="Menzionenonrisolta">
    <w:name w:val="Unresolved Mention"/>
    <w:basedOn w:val="Carpredefinitoparagrafo"/>
    <w:uiPriority w:val="99"/>
    <w:semiHidden/>
    <w:unhideWhenUsed/>
    <w:rsid w:val="00E042C2"/>
    <w:rPr>
      <w:color w:val="605E5C"/>
      <w:shd w:val="clear" w:color="auto" w:fill="E1DFDD"/>
    </w:rPr>
  </w:style>
  <w:style w:type="paragraph" w:styleId="Intestazione">
    <w:name w:val="header"/>
    <w:basedOn w:val="Normale"/>
    <w:link w:val="IntestazioneCarattere"/>
    <w:uiPriority w:val="99"/>
    <w:unhideWhenUsed/>
    <w:rsid w:val="00D3228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32287"/>
  </w:style>
  <w:style w:type="paragraph" w:styleId="Pidipagina">
    <w:name w:val="footer"/>
    <w:basedOn w:val="Normale"/>
    <w:link w:val="PidipaginaCarattere"/>
    <w:uiPriority w:val="99"/>
    <w:unhideWhenUsed/>
    <w:rsid w:val="00D3228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32287"/>
  </w:style>
  <w:style w:type="character" w:customStyle="1" w:styleId="apple-converted-space">
    <w:name w:val="apple-converted-space"/>
    <w:basedOn w:val="Carpredefinitoparagrafo"/>
    <w:rsid w:val="00027D8E"/>
  </w:style>
  <w:style w:type="paragraph" w:styleId="NormaleWeb">
    <w:name w:val="Normal (Web)"/>
    <w:basedOn w:val="Normale"/>
    <w:uiPriority w:val="99"/>
    <w:unhideWhenUsed/>
    <w:rsid w:val="005235C9"/>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styleId="Enfasigrassetto">
    <w:name w:val="Strong"/>
    <w:basedOn w:val="Carpredefinitoparagrafo"/>
    <w:uiPriority w:val="22"/>
    <w:qFormat/>
    <w:rsid w:val="005235C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032530">
      <w:bodyDiv w:val="1"/>
      <w:marLeft w:val="0"/>
      <w:marRight w:val="0"/>
      <w:marTop w:val="0"/>
      <w:marBottom w:val="0"/>
      <w:divBdr>
        <w:top w:val="none" w:sz="0" w:space="0" w:color="auto"/>
        <w:left w:val="none" w:sz="0" w:space="0" w:color="auto"/>
        <w:bottom w:val="none" w:sz="0" w:space="0" w:color="auto"/>
        <w:right w:val="none" w:sz="0" w:space="0" w:color="auto"/>
      </w:divBdr>
    </w:div>
    <w:div w:id="78988365">
      <w:bodyDiv w:val="1"/>
      <w:marLeft w:val="0"/>
      <w:marRight w:val="0"/>
      <w:marTop w:val="0"/>
      <w:marBottom w:val="0"/>
      <w:divBdr>
        <w:top w:val="none" w:sz="0" w:space="0" w:color="auto"/>
        <w:left w:val="none" w:sz="0" w:space="0" w:color="auto"/>
        <w:bottom w:val="none" w:sz="0" w:space="0" w:color="auto"/>
        <w:right w:val="none" w:sz="0" w:space="0" w:color="auto"/>
      </w:divBdr>
    </w:div>
    <w:div w:id="141847227">
      <w:bodyDiv w:val="1"/>
      <w:marLeft w:val="0"/>
      <w:marRight w:val="0"/>
      <w:marTop w:val="0"/>
      <w:marBottom w:val="0"/>
      <w:divBdr>
        <w:top w:val="none" w:sz="0" w:space="0" w:color="auto"/>
        <w:left w:val="none" w:sz="0" w:space="0" w:color="auto"/>
        <w:bottom w:val="none" w:sz="0" w:space="0" w:color="auto"/>
        <w:right w:val="none" w:sz="0" w:space="0" w:color="auto"/>
      </w:divBdr>
    </w:div>
    <w:div w:id="657418431">
      <w:bodyDiv w:val="1"/>
      <w:marLeft w:val="0"/>
      <w:marRight w:val="0"/>
      <w:marTop w:val="0"/>
      <w:marBottom w:val="0"/>
      <w:divBdr>
        <w:top w:val="none" w:sz="0" w:space="0" w:color="auto"/>
        <w:left w:val="none" w:sz="0" w:space="0" w:color="auto"/>
        <w:bottom w:val="none" w:sz="0" w:space="0" w:color="auto"/>
        <w:right w:val="none" w:sz="0" w:space="0" w:color="auto"/>
      </w:divBdr>
    </w:div>
    <w:div w:id="819687938">
      <w:bodyDiv w:val="1"/>
      <w:marLeft w:val="0"/>
      <w:marRight w:val="0"/>
      <w:marTop w:val="0"/>
      <w:marBottom w:val="0"/>
      <w:divBdr>
        <w:top w:val="none" w:sz="0" w:space="0" w:color="auto"/>
        <w:left w:val="none" w:sz="0" w:space="0" w:color="auto"/>
        <w:bottom w:val="none" w:sz="0" w:space="0" w:color="auto"/>
        <w:right w:val="none" w:sz="0" w:space="0" w:color="auto"/>
      </w:divBdr>
    </w:div>
    <w:div w:id="883712605">
      <w:bodyDiv w:val="1"/>
      <w:marLeft w:val="0"/>
      <w:marRight w:val="0"/>
      <w:marTop w:val="0"/>
      <w:marBottom w:val="0"/>
      <w:divBdr>
        <w:top w:val="none" w:sz="0" w:space="0" w:color="auto"/>
        <w:left w:val="none" w:sz="0" w:space="0" w:color="auto"/>
        <w:bottom w:val="none" w:sz="0" w:space="0" w:color="auto"/>
        <w:right w:val="none" w:sz="0" w:space="0" w:color="auto"/>
      </w:divBdr>
    </w:div>
    <w:div w:id="939602602">
      <w:bodyDiv w:val="1"/>
      <w:marLeft w:val="0"/>
      <w:marRight w:val="0"/>
      <w:marTop w:val="0"/>
      <w:marBottom w:val="0"/>
      <w:divBdr>
        <w:top w:val="none" w:sz="0" w:space="0" w:color="auto"/>
        <w:left w:val="none" w:sz="0" w:space="0" w:color="auto"/>
        <w:bottom w:val="none" w:sz="0" w:space="0" w:color="auto"/>
        <w:right w:val="none" w:sz="0" w:space="0" w:color="auto"/>
      </w:divBdr>
    </w:div>
    <w:div w:id="1002513829">
      <w:bodyDiv w:val="1"/>
      <w:marLeft w:val="0"/>
      <w:marRight w:val="0"/>
      <w:marTop w:val="0"/>
      <w:marBottom w:val="0"/>
      <w:divBdr>
        <w:top w:val="none" w:sz="0" w:space="0" w:color="auto"/>
        <w:left w:val="none" w:sz="0" w:space="0" w:color="auto"/>
        <w:bottom w:val="none" w:sz="0" w:space="0" w:color="auto"/>
        <w:right w:val="none" w:sz="0" w:space="0" w:color="auto"/>
      </w:divBdr>
    </w:div>
    <w:div w:id="1126512121">
      <w:bodyDiv w:val="1"/>
      <w:marLeft w:val="0"/>
      <w:marRight w:val="0"/>
      <w:marTop w:val="0"/>
      <w:marBottom w:val="0"/>
      <w:divBdr>
        <w:top w:val="none" w:sz="0" w:space="0" w:color="auto"/>
        <w:left w:val="none" w:sz="0" w:space="0" w:color="auto"/>
        <w:bottom w:val="none" w:sz="0" w:space="0" w:color="auto"/>
        <w:right w:val="none" w:sz="0" w:space="0" w:color="auto"/>
      </w:divBdr>
    </w:div>
    <w:div w:id="1171214948">
      <w:bodyDiv w:val="1"/>
      <w:marLeft w:val="0"/>
      <w:marRight w:val="0"/>
      <w:marTop w:val="0"/>
      <w:marBottom w:val="0"/>
      <w:divBdr>
        <w:top w:val="none" w:sz="0" w:space="0" w:color="auto"/>
        <w:left w:val="none" w:sz="0" w:space="0" w:color="auto"/>
        <w:bottom w:val="none" w:sz="0" w:space="0" w:color="auto"/>
        <w:right w:val="none" w:sz="0" w:space="0" w:color="auto"/>
      </w:divBdr>
    </w:div>
    <w:div w:id="1590772449">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833715627">
      <w:bodyDiv w:val="1"/>
      <w:marLeft w:val="0"/>
      <w:marRight w:val="0"/>
      <w:marTop w:val="0"/>
      <w:marBottom w:val="0"/>
      <w:divBdr>
        <w:top w:val="none" w:sz="0" w:space="0" w:color="auto"/>
        <w:left w:val="none" w:sz="0" w:space="0" w:color="auto"/>
        <w:bottom w:val="none" w:sz="0" w:space="0" w:color="auto"/>
        <w:right w:val="none" w:sz="0" w:space="0" w:color="auto"/>
      </w:divBdr>
    </w:div>
    <w:div w:id="2058973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tgexpo.it" TargetMode="External"/><Relationship Id="rId13" Type="http://schemas.openxmlformats.org/officeDocument/2006/relationships/hyperlink" Target="mailto:fabrizio@mindthepop.it"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inout.it" TargetMode="External"/><Relationship Id="rId12" Type="http://schemas.openxmlformats.org/officeDocument/2006/relationships/hyperlink" Target="mailto:martina@mindthepop.it" TargetMode="External"/><Relationship Id="rId17" Type="http://schemas.openxmlformats.org/officeDocument/2006/relationships/image" Target="cid:image002.jpg@01DBBDB0.A6143EC0" TargetMode="External"/><Relationship Id="rId2" Type="http://schemas.openxmlformats.org/officeDocument/2006/relationships/styles" Target="styles.xml"/><Relationship Id="rId16" Type="http://schemas.openxmlformats.org/officeDocument/2006/relationships/image" Target="media/image2.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edia@iegexpo.it" TargetMode="External"/><Relationship Id="rId5" Type="http://schemas.openxmlformats.org/officeDocument/2006/relationships/footnotes" Target="footnotes.xml"/><Relationship Id="rId15" Type="http://schemas.openxmlformats.org/officeDocument/2006/relationships/hyperlink" Target="mailto:stefano@mindthepop.it" TargetMode="External"/><Relationship Id="rId10" Type="http://schemas.openxmlformats.org/officeDocument/2006/relationships/hyperlink" Target="http://srvcww.dominio-fiera.local/gestionecww/template/%C2%B4http:/www.ttgexpo.it"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mailto:benedetto@mindthepop.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9656099-6797-4747-ae61-451ce2e0aed1}" enabled="0" method="" siteId="{29656099-6797-4747-ae61-451ce2e0aed1}" removed="1"/>
</clbl:labelList>
</file>

<file path=docProps/app.xml><?xml version="1.0" encoding="utf-8"?>
<Properties xmlns="http://schemas.openxmlformats.org/officeDocument/2006/extended-properties" xmlns:vt="http://schemas.openxmlformats.org/officeDocument/2006/docPropsVTypes">
  <Template>Normal</Template>
  <TotalTime>365</TotalTime>
  <Pages>3</Pages>
  <Words>850</Words>
  <Characters>4848</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Vacca</dc:creator>
  <cp:keywords/>
  <dc:description/>
  <cp:lastModifiedBy>Martina Vacca</cp:lastModifiedBy>
  <cp:revision>169</cp:revision>
  <cp:lastPrinted>2025-04-28T07:29:00Z</cp:lastPrinted>
  <dcterms:created xsi:type="dcterms:W3CDTF">2025-09-16T16:02:00Z</dcterms:created>
  <dcterms:modified xsi:type="dcterms:W3CDTF">2025-09-30T12:19:00Z</dcterms:modified>
</cp:coreProperties>
</file>